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6526D5" w14:textId="77777777" w:rsidR="009247F0" w:rsidRPr="00EE361A" w:rsidRDefault="009247F0" w:rsidP="009247F0">
      <w:pPr>
        <w:jc w:val="both"/>
        <w:rPr>
          <w:rFonts w:asciiTheme="minorHAnsi" w:hAnsiTheme="minorHAnsi" w:cstheme="minorHAnsi"/>
        </w:rPr>
      </w:pPr>
      <w:r w:rsidRPr="00EE361A">
        <w:rPr>
          <w:rStyle w:val="Titolo1Carattere"/>
          <w:rFonts w:asciiTheme="minorHAnsi" w:hAnsiTheme="minorHAnsi" w:cstheme="minorHAnsi"/>
          <w:lang w:val="en-GB"/>
        </w:rPr>
        <w:t>Title</w:t>
      </w:r>
      <w:r w:rsidRPr="00EE361A">
        <w:rPr>
          <w:rFonts w:asciiTheme="minorHAnsi" w:hAnsiTheme="minorHAnsi" w:cstheme="minorHAnsi"/>
        </w:rPr>
        <w:t xml:space="preserve">: </w:t>
      </w:r>
    </w:p>
    <w:p w14:paraId="108F9060" w14:textId="77777777" w:rsidR="009247F0" w:rsidRPr="00EE361A" w:rsidRDefault="009247F0" w:rsidP="009247F0">
      <w:pPr>
        <w:jc w:val="both"/>
        <w:rPr>
          <w:rFonts w:asciiTheme="minorHAnsi" w:hAnsiTheme="minorHAnsi" w:cstheme="minorHAnsi"/>
          <w:color w:val="000000"/>
        </w:rPr>
      </w:pPr>
      <w:r w:rsidRPr="00EE361A">
        <w:rPr>
          <w:rFonts w:asciiTheme="minorHAnsi" w:hAnsiTheme="minorHAnsi" w:cstheme="minorHAnsi"/>
          <w:color w:val="000000"/>
        </w:rPr>
        <w:t>The Contestation of State Authority: Media Discourse and Crisis Management During the Pandemic in Greece</w:t>
      </w:r>
    </w:p>
    <w:p w14:paraId="6EA261ED" w14:textId="77777777" w:rsidR="009247F0" w:rsidRPr="00EE361A" w:rsidRDefault="009247F0" w:rsidP="009247F0">
      <w:pPr>
        <w:jc w:val="both"/>
        <w:rPr>
          <w:rFonts w:asciiTheme="minorHAnsi" w:hAnsiTheme="minorHAnsi" w:cstheme="minorHAnsi"/>
          <w:b/>
          <w:bCs/>
        </w:rPr>
      </w:pPr>
    </w:p>
    <w:p w14:paraId="6693C3FF" w14:textId="77777777" w:rsidR="009247F0" w:rsidRPr="00EE361A" w:rsidRDefault="009247F0" w:rsidP="009247F0">
      <w:pPr>
        <w:pStyle w:val="Titolo1"/>
        <w:rPr>
          <w:rFonts w:asciiTheme="minorHAnsi" w:hAnsiTheme="minorHAnsi" w:cstheme="minorHAnsi"/>
        </w:rPr>
      </w:pPr>
      <w:r w:rsidRPr="00EE361A">
        <w:rPr>
          <w:rFonts w:asciiTheme="minorHAnsi" w:hAnsiTheme="minorHAnsi" w:cstheme="minorHAnsi"/>
        </w:rPr>
        <w:t xml:space="preserve">Abstract </w:t>
      </w:r>
    </w:p>
    <w:p w14:paraId="30E9EF44" w14:textId="2E0977B1"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During the Covid-19 pandemic, governments adopted emergency measures to protect public health, intensifying communication efforts. In Greece, this involved an alliance between the government and the scientific community. This </w:t>
      </w:r>
      <w:r w:rsidR="004F00D0" w:rsidRPr="00EE361A">
        <w:rPr>
          <w:rFonts w:ascii="Helvetica" w:eastAsiaTheme="minorHAnsi" w:hAnsi="Helvetica" w:cs="Helvetica"/>
          <w:lang w:val="en-US" w:eastAsia="en-US"/>
          <w14:ligatures w14:val="standardContextual"/>
        </w:rPr>
        <w:t>article</w:t>
      </w:r>
      <w:r w:rsidRPr="00EE361A">
        <w:rPr>
          <w:rFonts w:asciiTheme="minorHAnsi" w:hAnsiTheme="minorHAnsi" w:cstheme="minorHAnsi"/>
        </w:rPr>
        <w:t xml:space="preserve">examines how pandemic management was contested in Greek </w:t>
      </w:r>
      <w:r w:rsidR="0076777F" w:rsidRPr="00EE361A">
        <w:rPr>
          <w:rFonts w:asciiTheme="minorHAnsi" w:hAnsiTheme="minorHAnsi" w:cstheme="minorHAnsi"/>
        </w:rPr>
        <w:t>online</w:t>
      </w:r>
      <w:r w:rsidRPr="00EE361A">
        <w:rPr>
          <w:rFonts w:asciiTheme="minorHAnsi" w:hAnsiTheme="minorHAnsi" w:cstheme="minorHAnsi"/>
        </w:rPr>
        <w:t xml:space="preserve"> and social media, and how authorities justified restrictions. Contrary to </w:t>
      </w:r>
      <w:r w:rsidR="00701D42" w:rsidRPr="00EE361A">
        <w:rPr>
          <w:rFonts w:asciiTheme="minorHAnsi" w:hAnsiTheme="minorHAnsi" w:cstheme="minorHAnsi"/>
        </w:rPr>
        <w:t xml:space="preserve">expectations based on Greece’s traditionally confrontational </w:t>
      </w:r>
      <w:r w:rsidRPr="00EE361A">
        <w:rPr>
          <w:rFonts w:asciiTheme="minorHAnsi" w:hAnsiTheme="minorHAnsi" w:cstheme="minorHAnsi"/>
        </w:rPr>
        <w:t xml:space="preserve">public sphere with partisan divides and frequent protests, the findings show that </w:t>
      </w:r>
      <w:r w:rsidR="00701D42" w:rsidRPr="00EE361A">
        <w:rPr>
          <w:rFonts w:asciiTheme="minorHAnsi" w:hAnsiTheme="minorHAnsi" w:cstheme="minorHAnsi"/>
        </w:rPr>
        <w:t>contestation remained marginal</w:t>
      </w:r>
      <w:r w:rsidRPr="00EE361A">
        <w:rPr>
          <w:rFonts w:asciiTheme="minorHAnsi" w:hAnsiTheme="minorHAnsi" w:cstheme="minorHAnsi"/>
        </w:rPr>
        <w:t xml:space="preserve">. Instead, a paternalistic </w:t>
      </w:r>
      <w:r w:rsidR="00701D42" w:rsidRPr="00EE361A">
        <w:rPr>
          <w:rFonts w:asciiTheme="minorHAnsi" w:hAnsiTheme="minorHAnsi" w:cstheme="minorHAnsi"/>
        </w:rPr>
        <w:t xml:space="preserve">communication </w:t>
      </w:r>
      <w:r w:rsidRPr="00EE361A">
        <w:rPr>
          <w:rFonts w:asciiTheme="minorHAnsi" w:hAnsiTheme="minorHAnsi" w:cstheme="minorHAnsi"/>
        </w:rPr>
        <w:t xml:space="preserve">scenario prevailed, </w:t>
      </w:r>
      <w:r w:rsidR="00701D42" w:rsidRPr="00EE361A">
        <w:rPr>
          <w:rFonts w:asciiTheme="minorHAnsi" w:hAnsiTheme="minorHAnsi" w:cstheme="minorHAnsi"/>
        </w:rPr>
        <w:t xml:space="preserve">in which </w:t>
      </w:r>
      <w:r w:rsidRPr="00EE361A">
        <w:rPr>
          <w:rFonts w:asciiTheme="minorHAnsi" w:hAnsiTheme="minorHAnsi" w:cstheme="minorHAnsi"/>
        </w:rPr>
        <w:t xml:space="preserve">state authorities </w:t>
      </w:r>
      <w:r w:rsidR="00701D42" w:rsidRPr="00EE361A">
        <w:rPr>
          <w:rFonts w:asciiTheme="minorHAnsi" w:hAnsiTheme="minorHAnsi" w:cstheme="minorHAnsi"/>
        </w:rPr>
        <w:t xml:space="preserve">and scientific experts </w:t>
      </w:r>
      <w:r w:rsidRPr="00EE361A">
        <w:rPr>
          <w:rFonts w:asciiTheme="minorHAnsi" w:hAnsiTheme="minorHAnsi" w:cstheme="minorHAnsi"/>
        </w:rPr>
        <w:t xml:space="preserve">dominated public discourse and effectively </w:t>
      </w:r>
      <w:r w:rsidR="00701D42" w:rsidRPr="00EE361A">
        <w:rPr>
          <w:rFonts w:asciiTheme="minorHAnsi" w:hAnsiTheme="minorHAnsi" w:cstheme="minorHAnsi"/>
        </w:rPr>
        <w:t xml:space="preserve">monopolised the crisis </w:t>
      </w:r>
      <w:r w:rsidRPr="00EE361A">
        <w:rPr>
          <w:rFonts w:asciiTheme="minorHAnsi" w:hAnsiTheme="minorHAnsi" w:cstheme="minorHAnsi"/>
        </w:rPr>
        <w:t>debate</w:t>
      </w:r>
      <w:r w:rsidR="00701D42" w:rsidRPr="00EE361A">
        <w:rPr>
          <w:rFonts w:asciiTheme="minorHAnsi" w:hAnsiTheme="minorHAnsi" w:cstheme="minorHAnsi"/>
        </w:rPr>
        <w:t xml:space="preserve">, </w:t>
      </w:r>
      <w:r w:rsidRPr="00EE361A">
        <w:rPr>
          <w:rFonts w:asciiTheme="minorHAnsi" w:hAnsiTheme="minorHAnsi" w:cstheme="minorHAnsi"/>
        </w:rPr>
        <w:t xml:space="preserve">reinforcing </w:t>
      </w:r>
      <w:r w:rsidR="00701D42" w:rsidRPr="00EE361A">
        <w:rPr>
          <w:rFonts w:asciiTheme="minorHAnsi" w:hAnsiTheme="minorHAnsi" w:cstheme="minorHAnsi"/>
        </w:rPr>
        <w:t xml:space="preserve">state </w:t>
      </w:r>
      <w:r w:rsidRPr="00EE361A">
        <w:rPr>
          <w:rFonts w:asciiTheme="minorHAnsi" w:hAnsiTheme="minorHAnsi" w:cstheme="minorHAnsi"/>
        </w:rPr>
        <w:t>authority during the emergency period.</w:t>
      </w:r>
    </w:p>
    <w:p w14:paraId="198CDB4C" w14:textId="77777777" w:rsidR="009247F0" w:rsidRPr="00EE361A" w:rsidRDefault="009247F0" w:rsidP="009247F0">
      <w:pPr>
        <w:jc w:val="both"/>
        <w:rPr>
          <w:rFonts w:asciiTheme="minorHAnsi" w:hAnsiTheme="minorHAnsi" w:cstheme="minorHAnsi"/>
        </w:rPr>
      </w:pPr>
    </w:p>
    <w:p w14:paraId="4BC5B30C" w14:textId="77777777" w:rsidR="009247F0" w:rsidRPr="00EE361A" w:rsidRDefault="009247F0" w:rsidP="009247F0">
      <w:pPr>
        <w:pStyle w:val="Titolo1"/>
        <w:rPr>
          <w:rFonts w:asciiTheme="minorHAnsi" w:hAnsiTheme="minorHAnsi" w:cstheme="minorHAnsi"/>
        </w:rPr>
      </w:pPr>
      <w:r w:rsidRPr="00EE361A">
        <w:rPr>
          <w:rFonts w:asciiTheme="minorHAnsi" w:hAnsiTheme="minorHAnsi" w:cstheme="minorHAnsi"/>
        </w:rPr>
        <w:t>Key Words</w:t>
      </w:r>
    </w:p>
    <w:p w14:paraId="7A72B54A" w14:textId="5B6BE06A"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Greece, Pandemic Management, Mixed Methods, </w:t>
      </w:r>
      <w:r w:rsidR="0076777F" w:rsidRPr="00EE361A">
        <w:rPr>
          <w:rFonts w:asciiTheme="minorHAnsi" w:hAnsiTheme="minorHAnsi" w:cstheme="minorHAnsi"/>
        </w:rPr>
        <w:t>Contestation</w:t>
      </w:r>
      <w:r w:rsidRPr="00EE361A">
        <w:rPr>
          <w:rFonts w:asciiTheme="minorHAnsi" w:hAnsiTheme="minorHAnsi" w:cstheme="minorHAnsi"/>
        </w:rPr>
        <w:t xml:space="preserve">, </w:t>
      </w:r>
      <w:r w:rsidR="006D2E4F" w:rsidRPr="00EE361A">
        <w:rPr>
          <w:rFonts w:asciiTheme="minorHAnsi" w:hAnsiTheme="minorHAnsi" w:cstheme="minorHAnsi"/>
        </w:rPr>
        <w:t>Science</w:t>
      </w:r>
      <w:r w:rsidRPr="00EE361A">
        <w:rPr>
          <w:rFonts w:asciiTheme="minorHAnsi" w:hAnsiTheme="minorHAnsi" w:cstheme="minorHAnsi"/>
        </w:rPr>
        <w:t xml:space="preserve"> communicat</w:t>
      </w:r>
      <w:r w:rsidR="006D2E4F" w:rsidRPr="00EE361A">
        <w:rPr>
          <w:rFonts w:asciiTheme="minorHAnsi" w:hAnsiTheme="minorHAnsi" w:cstheme="minorHAnsi"/>
        </w:rPr>
        <w:t>ion</w:t>
      </w:r>
      <w:r w:rsidRPr="00EE361A">
        <w:rPr>
          <w:rFonts w:asciiTheme="minorHAnsi" w:hAnsiTheme="minorHAnsi" w:cstheme="minorHAnsi"/>
        </w:rPr>
        <w:t xml:space="preserve">, State Authority, Political claims, Facebook  </w:t>
      </w:r>
    </w:p>
    <w:p w14:paraId="572AFA93" w14:textId="77777777" w:rsidR="00C94AA0" w:rsidRPr="00EE361A" w:rsidRDefault="00C94AA0"/>
    <w:p w14:paraId="623AE577" w14:textId="77777777" w:rsidR="009247F0" w:rsidRPr="00EE361A" w:rsidRDefault="009247F0" w:rsidP="009247F0">
      <w:pPr>
        <w:pStyle w:val="Titolo1"/>
        <w:rPr>
          <w:rFonts w:asciiTheme="minorHAnsi" w:hAnsiTheme="minorHAnsi" w:cstheme="minorHAnsi"/>
        </w:rPr>
      </w:pPr>
      <w:r w:rsidRPr="00EE361A">
        <w:rPr>
          <w:rFonts w:asciiTheme="minorHAnsi" w:hAnsiTheme="minorHAnsi" w:cstheme="minorHAnsi"/>
        </w:rPr>
        <w:t xml:space="preserve">Introduction </w:t>
      </w:r>
    </w:p>
    <w:p w14:paraId="0881F737" w14:textId="77777777" w:rsidR="009247F0" w:rsidRPr="00EE361A" w:rsidRDefault="009247F0" w:rsidP="009247F0">
      <w:pPr>
        <w:jc w:val="both"/>
        <w:rPr>
          <w:rFonts w:asciiTheme="minorHAnsi" w:hAnsiTheme="minorHAnsi" w:cstheme="minorHAnsi"/>
        </w:rPr>
      </w:pPr>
    </w:p>
    <w:p w14:paraId="7CF5A93B" w14:textId="0AC2F150" w:rsidR="009247F0" w:rsidRPr="00EE361A" w:rsidRDefault="009247F0" w:rsidP="009247F0">
      <w:pPr>
        <w:jc w:val="both"/>
        <w:rPr>
          <w:rFonts w:asciiTheme="minorHAnsi" w:hAnsiTheme="minorHAnsi" w:cstheme="minorHAnsi"/>
        </w:rPr>
      </w:pPr>
      <w:r w:rsidRPr="00EE361A">
        <w:rPr>
          <w:rFonts w:asciiTheme="minorHAnsi" w:hAnsiTheme="minorHAnsi" w:cstheme="minorHAnsi"/>
        </w:rPr>
        <w:t>The Covid-19 pandemic prompted exceptional policy measures worldwide to address the public health crisis and mitigate economic disruption and social unrest (Shafi and Mallinson, 2023). While existing literature emphasises variation in national responses (Kuhlmann et al., 2021), there were also commonalities—particularly in how governments rapidly translated scientific advice into restrictive containment strategies (Forster and Heinzel, 2021; Schnabel and Hegele, 2021). Lockdowns were imposed, healthcare systems reinforced, and economic support extended (Ginsburg and Versteeg, 2021). These interventions curtailed individual freedoms and suspended social and economic activity, often framed through appeals to “individual responsibility” (Giritli Nygren and Olofsson, 2020). Nonetheless, governmental authority and scientific guidance were contested across physical and digital public spheres.</w:t>
      </w:r>
    </w:p>
    <w:p w14:paraId="776A3BBC" w14:textId="77777777" w:rsidR="009247F0" w:rsidRPr="00EE361A" w:rsidRDefault="009247F0" w:rsidP="009247F0">
      <w:pPr>
        <w:jc w:val="both"/>
        <w:rPr>
          <w:rFonts w:asciiTheme="minorHAnsi" w:hAnsiTheme="minorHAnsi" w:cstheme="minorHAnsi"/>
        </w:rPr>
      </w:pPr>
    </w:p>
    <w:p w14:paraId="41828C84" w14:textId="1E48FFB2"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This </w:t>
      </w:r>
      <w:r w:rsidR="004F00D0" w:rsidRPr="00EE361A">
        <w:rPr>
          <w:rFonts w:asciiTheme="minorHAnsi" w:hAnsiTheme="minorHAnsi" w:cstheme="minorHAnsi"/>
        </w:rPr>
        <w:t xml:space="preserve">article </w:t>
      </w:r>
      <w:r w:rsidRPr="00EE361A">
        <w:rPr>
          <w:rFonts w:asciiTheme="minorHAnsi" w:hAnsiTheme="minorHAnsi" w:cstheme="minorHAnsi"/>
        </w:rPr>
        <w:t xml:space="preserve">examines how the exercise of emergency powers during the pandemic in Greece was represented and contested through claims in online and social media, in a country emerging from a long period of austerity (Zilidis et al., 2020). </w:t>
      </w:r>
      <w:r w:rsidR="001C30C2" w:rsidRPr="00EE361A">
        <w:rPr>
          <w:rFonts w:asciiTheme="minorHAnsi" w:hAnsiTheme="minorHAnsi" w:cstheme="minorHAnsi"/>
        </w:rPr>
        <w:t xml:space="preserve">Greece constitutes a revealing case due to its deep integration into European Union (EU) crisis governance, its fragile public health system  (Zahariadis et al., 2021)—and its precarious labour market (Kousi et al., 2021; Psaropoulos, 2020). </w:t>
      </w:r>
      <w:r w:rsidR="001C30C2" w:rsidRPr="00EE361A">
        <w:rPr>
          <w:rFonts w:asciiTheme="minorHAnsi" w:hAnsiTheme="minorHAnsi" w:cstheme="minorHAnsi"/>
        </w:rPr>
        <w:t xml:space="preserve">We are able to show that the health crisis allowed the </w:t>
      </w:r>
      <w:r w:rsidR="001C30C2" w:rsidRPr="00EE361A">
        <w:rPr>
          <w:rFonts w:asciiTheme="minorHAnsi" w:hAnsiTheme="minorHAnsi" w:cstheme="minorHAnsi"/>
        </w:rPr>
        <w:lastRenderedPageBreak/>
        <w:t xml:space="preserve">Greek government to reinforce political authority and claim legitimacy in public and media debates. </w:t>
      </w:r>
      <w:r w:rsidRPr="00EE361A">
        <w:rPr>
          <w:rFonts w:asciiTheme="minorHAnsi" w:hAnsiTheme="minorHAnsi" w:cstheme="minorHAnsi"/>
        </w:rPr>
        <w:t xml:space="preserve"> </w:t>
      </w:r>
      <w:r w:rsidR="001C30C2" w:rsidRPr="00EE361A">
        <w:rPr>
          <w:rFonts w:asciiTheme="minorHAnsi" w:hAnsiTheme="minorHAnsi" w:cstheme="minorHAnsi"/>
        </w:rPr>
        <w:t>Thus, u</w:t>
      </w:r>
      <w:r w:rsidRPr="00EE361A">
        <w:rPr>
          <w:rFonts w:asciiTheme="minorHAnsi" w:hAnsiTheme="minorHAnsi" w:cstheme="minorHAnsi"/>
        </w:rPr>
        <w:t>nlike earlier crises such as the sovereign-debt (Roose et al., 2018; Lahusen et al., 2016) and refugee crises (Paschou et al., 2022; Cinalli et al., 2021), pandemic management encountered less open contestation</w:t>
      </w:r>
      <w:r w:rsidR="005E522E" w:rsidRPr="00EE361A">
        <w:t xml:space="preserve"> </w:t>
      </w:r>
      <w:r w:rsidR="00701D42" w:rsidRPr="00EE361A">
        <w:t>(</w:t>
      </w:r>
      <w:r w:rsidR="005E522E" w:rsidRPr="00EE361A">
        <w:rPr>
          <w:rFonts w:asciiTheme="minorHAnsi" w:hAnsiTheme="minorHAnsi" w:cstheme="minorHAnsi"/>
        </w:rPr>
        <w:t>Ladi et al., 2022; Exadaktylos &amp; Chatzopoulou, 2022)</w:t>
      </w:r>
      <w:r w:rsidRPr="00EE361A">
        <w:rPr>
          <w:rFonts w:asciiTheme="minorHAnsi" w:hAnsiTheme="minorHAnsi" w:cstheme="minorHAnsi"/>
        </w:rPr>
        <w:t xml:space="preserve">.  </w:t>
      </w:r>
      <w:r w:rsidR="001C30C2" w:rsidRPr="00EE361A">
        <w:rPr>
          <w:rFonts w:asciiTheme="minorHAnsi" w:hAnsiTheme="minorHAnsi" w:cstheme="minorHAnsi"/>
        </w:rPr>
        <w:t xml:space="preserve"> </w:t>
      </w:r>
      <w:r w:rsidRPr="00EE361A">
        <w:rPr>
          <w:rFonts w:asciiTheme="minorHAnsi" w:hAnsiTheme="minorHAnsi" w:cstheme="minorHAnsi"/>
        </w:rPr>
        <w:t>The challenge of balancing health risks with economic collapse was partly mitigated by the EU’s Recovery and Resilience Facility.</w:t>
      </w:r>
    </w:p>
    <w:p w14:paraId="4855691D" w14:textId="77777777" w:rsidR="009247F0" w:rsidRPr="00EE361A" w:rsidRDefault="009247F0" w:rsidP="009247F0">
      <w:pPr>
        <w:jc w:val="both"/>
        <w:rPr>
          <w:rFonts w:asciiTheme="minorHAnsi" w:hAnsiTheme="minorHAnsi" w:cstheme="minorHAnsi"/>
        </w:rPr>
      </w:pPr>
    </w:p>
    <w:p w14:paraId="0FAE4A1D" w14:textId="769026F1"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Rather than analysing the political opportunity structures of mobilisation, the study focuses on </w:t>
      </w:r>
      <w:r w:rsidR="001C30C2" w:rsidRPr="00EE361A">
        <w:rPr>
          <w:rFonts w:asciiTheme="minorHAnsi" w:hAnsiTheme="minorHAnsi" w:cstheme="minorHAnsi"/>
        </w:rPr>
        <w:t xml:space="preserve">public claims-making as an indicator of how </w:t>
      </w:r>
      <w:r w:rsidR="005B6658" w:rsidRPr="00EE361A">
        <w:rPr>
          <w:rFonts w:asciiTheme="minorHAnsi" w:hAnsiTheme="minorHAnsi" w:cstheme="minorHAnsi"/>
        </w:rPr>
        <w:t xml:space="preserve">political, economic, and societal </w:t>
      </w:r>
      <w:r w:rsidR="001C30C2" w:rsidRPr="00EE361A">
        <w:rPr>
          <w:rFonts w:asciiTheme="minorHAnsi" w:hAnsiTheme="minorHAnsi" w:cstheme="minorHAnsi"/>
        </w:rPr>
        <w:t xml:space="preserve">actors accepted, tolerated, or contested the government’s pandemic management. </w:t>
      </w:r>
      <w:r w:rsidR="004366BD" w:rsidRPr="00EE361A">
        <w:rPr>
          <w:rFonts w:asciiTheme="minorHAnsi" w:hAnsiTheme="minorHAnsi" w:cstheme="minorHAnsi"/>
        </w:rPr>
        <w:t xml:space="preserve">This analytical lens enables us to trace how pandemic management was supported or challenged over time. Our findings reveal a communicative environment of limited public contestation, showing how the government formed an alliance with scientists and used strategic media framing to define acceptable behaviour and normalise a paternalistic model of crisis governance. </w:t>
      </w:r>
      <w:r w:rsidRPr="00EE361A">
        <w:rPr>
          <w:rFonts w:asciiTheme="minorHAnsi" w:hAnsiTheme="minorHAnsi" w:cstheme="minorHAnsi"/>
        </w:rPr>
        <w:t>Despite a mixed record of policy success and visible management failures, governmental authority remained largely uncontested—both by opposition parties and by public opinion (Exadaktylos and Chatzopoulou, 2022; Katsa</w:t>
      </w:r>
      <w:r w:rsidR="00C55637" w:rsidRPr="00EE361A">
        <w:rPr>
          <w:rFonts w:asciiTheme="minorHAnsi" w:hAnsiTheme="minorHAnsi" w:cstheme="minorHAnsi"/>
        </w:rPr>
        <w:t>mp</w:t>
      </w:r>
      <w:r w:rsidRPr="00EE361A">
        <w:rPr>
          <w:rFonts w:asciiTheme="minorHAnsi" w:hAnsiTheme="minorHAnsi" w:cstheme="minorHAnsi"/>
        </w:rPr>
        <w:t>ekis and Stavrakakis, 2020; Ladi et al., 2022).</w:t>
      </w:r>
    </w:p>
    <w:p w14:paraId="2C5E0670" w14:textId="77777777" w:rsidR="009247F0" w:rsidRPr="00EE361A" w:rsidRDefault="009247F0" w:rsidP="009247F0">
      <w:pPr>
        <w:jc w:val="both"/>
        <w:rPr>
          <w:rFonts w:asciiTheme="minorHAnsi" w:hAnsiTheme="minorHAnsi" w:cstheme="minorHAnsi"/>
        </w:rPr>
      </w:pPr>
    </w:p>
    <w:p w14:paraId="2E29D09A" w14:textId="2C9F7617" w:rsidR="009247F0" w:rsidRPr="00EE361A" w:rsidRDefault="001C30C2" w:rsidP="009247F0">
      <w:pPr>
        <w:jc w:val="both"/>
        <w:rPr>
          <w:rFonts w:asciiTheme="minorHAnsi" w:hAnsiTheme="minorHAnsi" w:cstheme="minorHAnsi"/>
        </w:rPr>
      </w:pPr>
      <w:r w:rsidRPr="00EE361A">
        <w:rPr>
          <w:rFonts w:asciiTheme="minorHAnsi" w:hAnsiTheme="minorHAnsi" w:cstheme="minorHAnsi"/>
        </w:rPr>
        <w:t>P</w:t>
      </w:r>
    </w:p>
    <w:p w14:paraId="15347C97" w14:textId="77777777" w:rsidR="009247F0" w:rsidRPr="00EE361A" w:rsidRDefault="009247F0" w:rsidP="009247F0">
      <w:pPr>
        <w:jc w:val="both"/>
        <w:rPr>
          <w:rFonts w:asciiTheme="minorHAnsi" w:hAnsiTheme="minorHAnsi" w:cstheme="minorHAnsi"/>
        </w:rPr>
      </w:pPr>
    </w:p>
    <w:p w14:paraId="199C5BC3" w14:textId="6DA12AC8"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The study draws on three primary data sources: (1) public contestation in online </w:t>
      </w:r>
      <w:r w:rsidR="004366BD" w:rsidRPr="00EE361A">
        <w:rPr>
          <w:rFonts w:asciiTheme="minorHAnsi" w:hAnsiTheme="minorHAnsi" w:cstheme="minorHAnsi"/>
        </w:rPr>
        <w:t>news media</w:t>
      </w:r>
      <w:r w:rsidRPr="00EE361A">
        <w:rPr>
          <w:rFonts w:asciiTheme="minorHAnsi" w:hAnsiTheme="minorHAnsi" w:cstheme="minorHAnsi"/>
        </w:rPr>
        <w:t xml:space="preserve">; (2) user-generated content on social media and (3) expert interviews. It analyses how </w:t>
      </w:r>
      <w:r w:rsidR="004366BD" w:rsidRPr="00EE361A">
        <w:rPr>
          <w:rFonts w:asciiTheme="minorHAnsi" w:hAnsiTheme="minorHAnsi" w:cstheme="minorHAnsi"/>
        </w:rPr>
        <w:t xml:space="preserve">the news </w:t>
      </w:r>
      <w:r w:rsidRPr="00EE361A">
        <w:rPr>
          <w:rFonts w:asciiTheme="minorHAnsi" w:hAnsiTheme="minorHAnsi" w:cstheme="minorHAnsi"/>
        </w:rPr>
        <w:t xml:space="preserve">media framed the alliance between government authorities and scientific experts. Officials and scientists often adopted a pedagogical communication style, promoting expectations of “responsible citizen” behaviour; pandemic-management authorities were rarely challenged by competing voices. The </w:t>
      </w:r>
      <w:r w:rsidR="004F00D0" w:rsidRPr="00EE361A">
        <w:rPr>
          <w:rFonts w:asciiTheme="minorHAnsi" w:hAnsiTheme="minorHAnsi" w:cstheme="minorHAnsi"/>
        </w:rPr>
        <w:t xml:space="preserve">article </w:t>
      </w:r>
      <w:r w:rsidRPr="00EE361A">
        <w:rPr>
          <w:rFonts w:asciiTheme="minorHAnsi" w:hAnsiTheme="minorHAnsi" w:cstheme="minorHAnsi"/>
        </w:rPr>
        <w:t>also analyses user-generated commentary responding to news on social media—particularly Facebook—to assess whether, and to what extent, users contested these narratives and state decisions. Finally, these findings are complemented by interviews with key actors—scientists, politicians, and journalists—examining how they justified government decisions and responded to criticism.</w:t>
      </w:r>
    </w:p>
    <w:p w14:paraId="1E791671" w14:textId="77777777" w:rsidR="009247F0" w:rsidRPr="00EE361A" w:rsidRDefault="009247F0" w:rsidP="009247F0">
      <w:pPr>
        <w:jc w:val="both"/>
        <w:rPr>
          <w:rFonts w:asciiTheme="minorHAnsi" w:hAnsiTheme="minorHAnsi" w:cstheme="minorHAnsi"/>
        </w:rPr>
      </w:pPr>
    </w:p>
    <w:p w14:paraId="265EB549" w14:textId="1584E3B4" w:rsidR="009247F0" w:rsidRPr="00EE361A" w:rsidRDefault="009247F0" w:rsidP="009247F0">
      <w:pPr>
        <w:jc w:val="both"/>
        <w:rPr>
          <w:rFonts w:asciiTheme="minorHAnsi" w:hAnsiTheme="minorHAnsi" w:cstheme="minorHAnsi"/>
        </w:rPr>
      </w:pPr>
      <w:r w:rsidRPr="00EE361A">
        <w:rPr>
          <w:rFonts w:asciiTheme="minorHAnsi" w:hAnsiTheme="minorHAnsi" w:cstheme="minorHAnsi"/>
        </w:rPr>
        <w:t>By combining these analytical dimensions, the study offers a nuanced account of the interplay between communication strategies, media framing, and public contestation during the pandemic</w:t>
      </w:r>
      <w:r w:rsidR="00271FEE" w:rsidRPr="00EE361A">
        <w:rPr>
          <w:rFonts w:asciiTheme="minorHAnsi" w:hAnsiTheme="minorHAnsi" w:cstheme="minorHAnsi"/>
        </w:rPr>
        <w:t xml:space="preserve">, </w:t>
      </w:r>
      <w:r w:rsidR="00D50560" w:rsidRPr="00EE361A">
        <w:rPr>
          <w:rFonts w:asciiTheme="minorHAnsi" w:hAnsiTheme="minorHAnsi" w:cstheme="minorHAnsi"/>
        </w:rPr>
        <w:t>advanc</w:t>
      </w:r>
      <w:r w:rsidR="00271FEE" w:rsidRPr="00EE361A">
        <w:rPr>
          <w:rFonts w:asciiTheme="minorHAnsi" w:hAnsiTheme="minorHAnsi" w:cstheme="minorHAnsi"/>
        </w:rPr>
        <w:t>ing an</w:t>
      </w:r>
      <w:r w:rsidRPr="00EE361A">
        <w:rPr>
          <w:rFonts w:asciiTheme="minorHAnsi" w:hAnsiTheme="minorHAnsi" w:cstheme="minorHAnsi"/>
        </w:rPr>
        <w:t xml:space="preserve"> understanding </w:t>
      </w:r>
      <w:r w:rsidR="00D50560" w:rsidRPr="00EE361A">
        <w:rPr>
          <w:rFonts w:asciiTheme="minorHAnsi" w:hAnsiTheme="minorHAnsi" w:cstheme="minorHAnsi"/>
        </w:rPr>
        <w:t xml:space="preserve">of </w:t>
      </w:r>
      <w:r w:rsidRPr="00EE361A">
        <w:rPr>
          <w:rFonts w:asciiTheme="minorHAnsi" w:hAnsiTheme="minorHAnsi" w:cstheme="minorHAnsi"/>
        </w:rPr>
        <w:t xml:space="preserve">how democratic governments maintain authority and manage dissent </w:t>
      </w:r>
      <w:r w:rsidR="00D50560" w:rsidRPr="00EE361A">
        <w:rPr>
          <w:rFonts w:asciiTheme="minorHAnsi" w:hAnsiTheme="minorHAnsi" w:cstheme="minorHAnsi"/>
        </w:rPr>
        <w:t>under conditions of uncertainty</w:t>
      </w:r>
      <w:r w:rsidRPr="00EE361A">
        <w:rPr>
          <w:rFonts w:asciiTheme="minorHAnsi" w:hAnsiTheme="minorHAnsi" w:cstheme="minorHAnsi"/>
        </w:rPr>
        <w:t>. In this sense, the study contributes to debates on technocratic governance, state exceptionalism, and the muting of political contestation in emergencies.</w:t>
      </w:r>
      <w:r w:rsidR="007972AB" w:rsidRPr="00EE361A">
        <w:rPr>
          <w:rFonts w:asciiTheme="minorHAnsi" w:hAnsiTheme="minorHAnsi"/>
        </w:rPr>
        <w:t xml:space="preserve"> </w:t>
      </w:r>
      <w:r w:rsidR="0060663E" w:rsidRPr="00EE361A">
        <w:rPr>
          <w:rFonts w:asciiTheme="minorHAnsi" w:hAnsiTheme="minorHAnsi"/>
        </w:rPr>
        <w:t>Rather than producing either sustained consensus or overt rebellion, Greece’s pandemic governance generated a pattern of managed dissent, in which executive authority and scientific expertise stabilised institutional discourse while contestation was displaced into fragmented digital arenas. This challenges the assumption that low levels of mobilisation signal high legitimacy, showing instead how dissent can be contained, redirected, and unevenly expressed across communicative spaces.</w:t>
      </w:r>
    </w:p>
    <w:p w14:paraId="0031DE64" w14:textId="77777777" w:rsidR="00D33377" w:rsidRPr="00EE361A" w:rsidRDefault="00D33377" w:rsidP="009247F0">
      <w:pPr>
        <w:jc w:val="both"/>
        <w:rPr>
          <w:rFonts w:asciiTheme="minorHAnsi" w:hAnsiTheme="minorHAnsi" w:cstheme="minorHAnsi"/>
        </w:rPr>
      </w:pPr>
    </w:p>
    <w:p w14:paraId="0C8DD596" w14:textId="330BD771" w:rsidR="009247F0" w:rsidRPr="00EE361A" w:rsidRDefault="009247F0" w:rsidP="009247F0">
      <w:pPr>
        <w:jc w:val="both"/>
        <w:rPr>
          <w:rFonts w:asciiTheme="minorHAnsi" w:hAnsiTheme="minorHAnsi" w:cstheme="minorHAnsi"/>
        </w:rPr>
      </w:pPr>
      <w:r w:rsidRPr="00EE361A">
        <w:rPr>
          <w:rFonts w:asciiTheme="minorHAnsi" w:hAnsiTheme="minorHAnsi" w:cstheme="minorHAnsi"/>
        </w:rPr>
        <w:t>Following an introduction to the methodology of the POCO-Covid</w:t>
      </w:r>
      <w:r w:rsidR="004F00D0" w:rsidRPr="00EE361A">
        <w:rPr>
          <w:rStyle w:val="Rimandonotaapidipagina"/>
          <w:rFonts w:asciiTheme="minorHAnsi" w:hAnsiTheme="minorHAnsi" w:cstheme="minorHAnsi"/>
        </w:rPr>
        <w:footnoteReference w:id="1"/>
      </w:r>
      <w:r w:rsidRPr="00EE361A">
        <w:rPr>
          <w:rFonts w:asciiTheme="minorHAnsi" w:hAnsiTheme="minorHAnsi" w:cstheme="minorHAnsi"/>
        </w:rPr>
        <w:t xml:space="preserve"> research project, we </w:t>
      </w:r>
      <w:r w:rsidR="00C928D5" w:rsidRPr="00EE361A">
        <w:rPr>
          <w:rFonts w:asciiTheme="minorHAnsi" w:hAnsiTheme="minorHAnsi" w:cstheme="minorHAnsi"/>
        </w:rPr>
        <w:t xml:space="preserve">outline the </w:t>
      </w:r>
      <w:r w:rsidR="00271FEE" w:rsidRPr="00EE361A">
        <w:rPr>
          <w:rFonts w:asciiTheme="minorHAnsi" w:hAnsiTheme="minorHAnsi" w:cstheme="minorHAnsi"/>
        </w:rPr>
        <w:t xml:space="preserve">Greek pandemic </w:t>
      </w:r>
      <w:r w:rsidR="00C928D5" w:rsidRPr="00EE361A">
        <w:rPr>
          <w:rFonts w:asciiTheme="minorHAnsi" w:hAnsiTheme="minorHAnsi" w:cstheme="minorHAnsi"/>
        </w:rPr>
        <w:t xml:space="preserve">management, trace the formation of the government–scientific alliance, and introduce two contrasting scenarios of public </w:t>
      </w:r>
      <w:r w:rsidR="00271FEE" w:rsidRPr="00EE361A">
        <w:rPr>
          <w:rFonts w:asciiTheme="minorHAnsi" w:hAnsiTheme="minorHAnsi" w:cstheme="minorHAnsi"/>
        </w:rPr>
        <w:t>contestation</w:t>
      </w:r>
      <w:r w:rsidR="00C928D5" w:rsidRPr="00EE361A">
        <w:rPr>
          <w:rFonts w:asciiTheme="minorHAnsi" w:hAnsiTheme="minorHAnsi" w:cstheme="minorHAnsi"/>
        </w:rPr>
        <w:t xml:space="preserve">. We </w:t>
      </w:r>
      <w:r w:rsidR="00271FEE" w:rsidRPr="00EE361A">
        <w:rPr>
          <w:rFonts w:asciiTheme="minorHAnsi" w:hAnsiTheme="minorHAnsi" w:cstheme="minorHAnsi"/>
        </w:rPr>
        <w:t xml:space="preserve">then show how contestation of Greek pandemic management evolved over time in the news and on Facebook and what different </w:t>
      </w:r>
      <w:r w:rsidRPr="00EE361A">
        <w:rPr>
          <w:rFonts w:asciiTheme="minorHAnsi" w:hAnsiTheme="minorHAnsi" w:cstheme="minorHAnsi"/>
        </w:rPr>
        <w:t xml:space="preserve">communication strategies </w:t>
      </w:r>
      <w:r w:rsidR="00271FEE" w:rsidRPr="00EE361A">
        <w:rPr>
          <w:rFonts w:asciiTheme="minorHAnsi" w:hAnsiTheme="minorHAnsi" w:cstheme="minorHAnsi"/>
        </w:rPr>
        <w:t xml:space="preserve"> were employed by government and scientific experts. In the </w:t>
      </w:r>
      <w:r w:rsidR="00C928D5" w:rsidRPr="00EE361A">
        <w:rPr>
          <w:rFonts w:asciiTheme="minorHAnsi" w:hAnsiTheme="minorHAnsi" w:cstheme="minorHAnsi"/>
        </w:rPr>
        <w:t>discussion</w:t>
      </w:r>
      <w:r w:rsidR="00271FEE" w:rsidRPr="00EE361A">
        <w:rPr>
          <w:rFonts w:asciiTheme="minorHAnsi" w:hAnsiTheme="minorHAnsi" w:cstheme="minorHAnsi"/>
        </w:rPr>
        <w:t xml:space="preserve">, we turn to the </w:t>
      </w:r>
      <w:r w:rsidR="00C928D5" w:rsidRPr="00EE361A">
        <w:rPr>
          <w:rFonts w:asciiTheme="minorHAnsi" w:hAnsiTheme="minorHAnsi" w:cstheme="minorHAnsi"/>
        </w:rPr>
        <w:t>implications o</w:t>
      </w:r>
      <w:r w:rsidR="00271FEE" w:rsidRPr="00EE361A">
        <w:rPr>
          <w:rFonts w:asciiTheme="minorHAnsi" w:hAnsiTheme="minorHAnsi" w:cstheme="minorHAnsi"/>
        </w:rPr>
        <w:t>f the Greek experience of</w:t>
      </w:r>
      <w:r w:rsidR="00C928D5" w:rsidRPr="00EE361A">
        <w:rPr>
          <w:rFonts w:asciiTheme="minorHAnsi" w:hAnsiTheme="minorHAnsi" w:cstheme="minorHAnsi"/>
        </w:rPr>
        <w:t xml:space="preserve"> crisis governance and public communication</w:t>
      </w:r>
      <w:r w:rsidR="006A5EEF" w:rsidRPr="00EE361A">
        <w:rPr>
          <w:rFonts w:asciiTheme="minorHAnsi" w:hAnsiTheme="minorHAnsi" w:cstheme="minorHAnsi"/>
        </w:rPr>
        <w:t xml:space="preserve"> in a broader European context.</w:t>
      </w:r>
    </w:p>
    <w:p w14:paraId="01C0F31A" w14:textId="77777777" w:rsidR="009247F0" w:rsidRPr="00EE361A" w:rsidRDefault="009247F0"/>
    <w:p w14:paraId="13EBE2E1" w14:textId="77777777" w:rsidR="009247F0" w:rsidRPr="00EE361A" w:rsidRDefault="009247F0" w:rsidP="009247F0">
      <w:pPr>
        <w:pStyle w:val="Titolo1"/>
        <w:rPr>
          <w:rFonts w:asciiTheme="minorHAnsi" w:hAnsiTheme="minorHAnsi" w:cstheme="minorHAnsi"/>
        </w:rPr>
      </w:pPr>
      <w:r w:rsidRPr="00EE361A">
        <w:rPr>
          <w:rFonts w:asciiTheme="minorHAnsi" w:hAnsiTheme="minorHAnsi" w:cstheme="minorHAnsi"/>
        </w:rPr>
        <w:t>The pandemic, a crisis of legitimacy?</w:t>
      </w:r>
    </w:p>
    <w:p w14:paraId="5B6B9F23" w14:textId="77777777" w:rsidR="009247F0" w:rsidRPr="00EE361A" w:rsidRDefault="009247F0" w:rsidP="009247F0">
      <w:pPr>
        <w:jc w:val="both"/>
        <w:rPr>
          <w:rFonts w:asciiTheme="minorHAnsi" w:hAnsiTheme="minorHAnsi" w:cstheme="minorHAnsi"/>
        </w:rPr>
      </w:pPr>
    </w:p>
    <w:p w14:paraId="4AC4F3E8" w14:textId="01191F07" w:rsidR="009247F0" w:rsidRPr="00EE361A" w:rsidRDefault="007B1CEB" w:rsidP="009247F0">
      <w:pPr>
        <w:jc w:val="both"/>
        <w:rPr>
          <w:rFonts w:asciiTheme="minorHAnsi" w:hAnsiTheme="minorHAnsi" w:cstheme="minorHAnsi"/>
        </w:rPr>
      </w:pPr>
      <w:r w:rsidRPr="00EE361A">
        <w:rPr>
          <w:rFonts w:asciiTheme="minorHAnsi" w:hAnsiTheme="minorHAnsi" w:cstheme="minorHAnsi"/>
        </w:rPr>
        <w:t>The 2020-2022 pandemic represented an extreme case of a declared state of emergency in established democracies, with a high concentration of political power and a suspension of basic rights of the citizens. State executives engaged in public claims-making to defend the necessity of effective crisis management across political cleavages and conflicts of interest (Lowande and Rogowski 2021; Weissert et al. 2021). In addition to the functional constraints of centralisation of decision-making powers, the emergency also gave rise to public expectations of strong leadership (Kneuer and Wallaschek, 2023). This is a temptation</w:t>
      </w:r>
      <w:r w:rsidR="00D30C46" w:rsidRPr="00EE361A">
        <w:rPr>
          <w:rFonts w:asciiTheme="minorHAnsi" w:hAnsiTheme="minorHAnsi" w:cstheme="minorHAnsi"/>
        </w:rPr>
        <w:t xml:space="preserve"> for governments </w:t>
      </w:r>
      <w:r w:rsidRPr="00EE361A">
        <w:rPr>
          <w:rFonts w:asciiTheme="minorHAnsi" w:hAnsiTheme="minorHAnsi" w:cstheme="minorHAnsi"/>
        </w:rPr>
        <w:t>to reclaim control over oppositional forces in society and invest in authoritarianism (Heitmeyer 2024).</w:t>
      </w:r>
      <w:r w:rsidR="00D30C46" w:rsidRPr="00EE361A" w:rsidDel="007B1CEB">
        <w:rPr>
          <w:rFonts w:asciiTheme="minorHAnsi" w:hAnsiTheme="minorHAnsi" w:cstheme="minorHAnsi"/>
        </w:rPr>
        <w:t xml:space="preserve"> </w:t>
      </w:r>
    </w:p>
    <w:p w14:paraId="00CDDE3B" w14:textId="77777777" w:rsidR="009247F0" w:rsidRPr="00EE361A" w:rsidRDefault="009247F0" w:rsidP="009247F0">
      <w:pPr>
        <w:jc w:val="both"/>
        <w:rPr>
          <w:rFonts w:asciiTheme="minorHAnsi" w:hAnsiTheme="minorHAnsi" w:cstheme="minorHAnsi"/>
        </w:rPr>
      </w:pPr>
    </w:p>
    <w:p w14:paraId="390B584C" w14:textId="33F3A8D2" w:rsidR="00D30C46" w:rsidRPr="00EE361A" w:rsidRDefault="00D30C46" w:rsidP="009247F0">
      <w:pPr>
        <w:jc w:val="both"/>
        <w:rPr>
          <w:rFonts w:asciiTheme="minorHAnsi" w:hAnsiTheme="minorHAnsi" w:cstheme="minorHAnsi"/>
        </w:rPr>
      </w:pPr>
      <w:r w:rsidRPr="00EE361A">
        <w:rPr>
          <w:rFonts w:asciiTheme="minorHAnsi" w:hAnsiTheme="minorHAnsi" w:cstheme="minorHAnsi"/>
        </w:rPr>
        <w:t>There is thus the possibility that</w:t>
      </w:r>
      <w:r w:rsidR="009247F0" w:rsidRPr="00EE361A">
        <w:rPr>
          <w:rFonts w:asciiTheme="minorHAnsi" w:hAnsiTheme="minorHAnsi" w:cstheme="minorHAnsi"/>
        </w:rPr>
        <w:t xml:space="preserve"> the state of emergency </w:t>
      </w:r>
      <w:r w:rsidR="00BA1E0B" w:rsidRPr="00EE361A">
        <w:rPr>
          <w:rFonts w:asciiTheme="minorHAnsi" w:hAnsiTheme="minorHAnsi" w:cstheme="minorHAnsi"/>
        </w:rPr>
        <w:t xml:space="preserve">could </w:t>
      </w:r>
      <w:r w:rsidR="009247F0" w:rsidRPr="00EE361A">
        <w:rPr>
          <w:rFonts w:asciiTheme="minorHAnsi" w:hAnsiTheme="minorHAnsi" w:cstheme="minorHAnsi"/>
        </w:rPr>
        <w:t>also lead to a state of exception, where the normal legal order is suspended and replaced by strong leadership</w:t>
      </w:r>
      <w:r w:rsidR="00F97DCA" w:rsidRPr="00EE361A">
        <w:rPr>
          <w:rFonts w:asciiTheme="minorHAnsi" w:hAnsiTheme="minorHAnsi" w:cstheme="minorHAnsi"/>
        </w:rPr>
        <w:t>.</w:t>
      </w:r>
      <w:r w:rsidR="007B1CEB" w:rsidRPr="00EE361A">
        <w:rPr>
          <w:rFonts w:asciiTheme="minorHAnsi" w:hAnsiTheme="minorHAnsi" w:cstheme="minorHAnsi"/>
        </w:rPr>
        <w:t xml:space="preserve"> </w:t>
      </w:r>
      <w:r w:rsidR="009247F0" w:rsidRPr="00EE361A">
        <w:rPr>
          <w:rFonts w:asciiTheme="minorHAnsi" w:hAnsiTheme="minorHAnsi" w:cstheme="minorHAnsi"/>
        </w:rPr>
        <w:t xml:space="preserve">According to the Italian philosopher Agamben, the </w:t>
      </w:r>
      <w:r w:rsidRPr="00EE361A">
        <w:rPr>
          <w:rFonts w:asciiTheme="minorHAnsi" w:hAnsiTheme="minorHAnsi" w:cstheme="minorHAnsi"/>
        </w:rPr>
        <w:t xml:space="preserve">pandemic consolidated the permanent </w:t>
      </w:r>
      <w:r w:rsidR="009247F0" w:rsidRPr="00EE361A">
        <w:rPr>
          <w:rFonts w:asciiTheme="minorHAnsi" w:hAnsiTheme="minorHAnsi" w:cstheme="minorHAnsi"/>
        </w:rPr>
        <w:t xml:space="preserve">state of exception with state domination keeping society under perpetual fear and insecurity and slowly sacrificing individual freedom </w:t>
      </w:r>
      <w:r w:rsidR="009247F0" w:rsidRPr="00EE361A">
        <w:rPr>
          <w:rFonts w:asciiTheme="minorHAnsi" w:hAnsiTheme="minorHAnsi" w:cstheme="minorHAnsi"/>
        </w:rPr>
        <w:fldChar w:fldCharType="begin"/>
      </w:r>
      <w:r w:rsidR="009247F0" w:rsidRPr="00EE361A">
        <w:rPr>
          <w:rFonts w:asciiTheme="minorHAnsi" w:hAnsiTheme="minorHAnsi" w:cstheme="minorHAnsi"/>
        </w:rPr>
        <w:instrText xml:space="preserve">  ADDIN ZOTERO_ITEM CSL_CITATION {"citationID":"iLdKElZ5","properties":{"formattedCitation":"(Agamben 2021; Sirnes 2024)","plainCitation":"(Agamben 2021; Sirnes 2024)","noteIndex":0},"citationItems":[{"id":19338,"uris":["http://zotero.org/users/7922128/items/FYAYKZUQ"],"itemData":{"id":19338,"type":"book","event-place":"Lanham","ISBN":"978-1-5381-5761-9","note":"LCCN: 2021011235","publisher":"Rowman &amp; Littlefield Publishers","publisher-place":"Lanham","title":"Where Are We Now?: The Epidemic as Politics","URL":"https://books.google.it/books?id=yyInEAAAQBAJ","author":[{"family":"Agamben","given":"G."}],"translator":[{"family":"Dani","given":"V."}],"issued":{"date-parts":[["2021"]]}}},{"id":19337,"uris":["http://zotero.org/users/7922128/items/NQY69BS3"],"itemData":{"id":19337,"type":"article-journal","abstract":"The pandemic and all of its restrictions dominated public attention and social practices for almost three years. There was declared a state of exception in many national contexts during the pandemic. A revolution took place in the governing of bodies and the obstruction of sociality or the basic togetherness of humans. In a direct, physical way, the pandemic regulations were radically individualizing to a degree that had not been seen in either normal societies or normal crises and emergencies. This pandemic condition of being exposed represented a kind of extreme object existence.","container-title":"Subjectivity","DOI":"10.1057/s41286-024-00193-y","ISSN":"1755-635X","issue":"3","journalAbbreviation":"Subjectivity","page":"217-242","title":"The pandemic state of exception: restrictions, subjectivities, and authority","volume":"31","author":[{"family":"Sirnes","given":"Thorvald"}],"issued":{"date-parts":[["2024",9,1]]}}}],"schema":"https://github.com/citation-style-language/schema/raw/master/csl-citation.json"} </w:instrText>
      </w:r>
      <w:r w:rsidR="009247F0" w:rsidRPr="00EE361A">
        <w:rPr>
          <w:rFonts w:asciiTheme="minorHAnsi" w:hAnsiTheme="minorHAnsi" w:cstheme="minorHAnsi"/>
        </w:rPr>
        <w:fldChar w:fldCharType="separate"/>
      </w:r>
      <w:r w:rsidR="009247F0" w:rsidRPr="00EE361A">
        <w:rPr>
          <w:rFonts w:asciiTheme="minorHAnsi" w:hAnsiTheme="minorHAnsi" w:cstheme="minorHAnsi"/>
        </w:rPr>
        <w:t>(Agamben 2021; Sirnes 2024)</w:t>
      </w:r>
      <w:r w:rsidR="009247F0" w:rsidRPr="00EE361A">
        <w:rPr>
          <w:rFonts w:asciiTheme="minorHAnsi" w:hAnsiTheme="minorHAnsi" w:cstheme="minorHAnsi"/>
        </w:rPr>
        <w:fldChar w:fldCharType="end"/>
      </w:r>
      <w:r w:rsidR="009247F0" w:rsidRPr="00EE361A">
        <w:rPr>
          <w:rFonts w:asciiTheme="minorHAnsi" w:hAnsiTheme="minorHAnsi" w:cstheme="minorHAnsi"/>
        </w:rPr>
        <w:t xml:space="preserve">. </w:t>
      </w:r>
    </w:p>
    <w:p w14:paraId="79BBE448" w14:textId="77777777" w:rsidR="002E5C10" w:rsidRPr="00EE361A" w:rsidRDefault="002E5C10" w:rsidP="009247F0">
      <w:pPr>
        <w:jc w:val="both"/>
        <w:rPr>
          <w:rFonts w:asciiTheme="minorHAnsi" w:hAnsiTheme="minorHAnsi" w:cstheme="minorHAnsi"/>
        </w:rPr>
      </w:pPr>
    </w:p>
    <w:p w14:paraId="74D333D4" w14:textId="7B9D9D5E"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It is far from certain, however, that governments would be able to seek legitimacy in the pandemic through such a politics of fear that kept the individual in a state of perpetual alert. Instead of an extraordinary concentration of state power, we also find that governments sought to form alliances with scientific and expert bodies during the pandemic </w:t>
      </w:r>
      <w:r w:rsidR="00D22C2B" w:rsidRPr="00EE361A">
        <w:rPr>
          <w:rFonts w:asciiTheme="minorHAnsi" w:hAnsiTheme="minorHAnsi" w:cstheme="minorHAnsi"/>
        </w:rPr>
        <w:t>to</w:t>
      </w:r>
      <w:r w:rsidRPr="00EE361A">
        <w:rPr>
          <w:rFonts w:asciiTheme="minorHAnsi" w:hAnsiTheme="minorHAnsi" w:cstheme="minorHAnsi"/>
        </w:rPr>
        <w:t xml:space="preserve"> gain support for emergency measures. In Greece and other European countries, science was accepted as an independent source of authority by states who sought to be legitimised by scientific evidence. This contrasted with the approach adopted by populist governments across the globe who</w:t>
      </w:r>
      <w:r w:rsidR="00D30C46" w:rsidRPr="00EE361A">
        <w:rPr>
          <w:rFonts w:asciiTheme="minorHAnsi" w:hAnsiTheme="minorHAnsi" w:cstheme="minorHAnsi"/>
        </w:rPr>
        <w:t xml:space="preserve"> </w:t>
      </w:r>
      <w:r w:rsidRPr="00EE361A">
        <w:rPr>
          <w:rFonts w:asciiTheme="minorHAnsi" w:hAnsiTheme="minorHAnsi" w:cstheme="minorHAnsi"/>
        </w:rPr>
        <w:t>chose to confront science and challenge the authority of experts (Loner et al. 2023).</w:t>
      </w:r>
    </w:p>
    <w:p w14:paraId="65784746" w14:textId="77777777" w:rsidR="009247F0" w:rsidRPr="00EE361A" w:rsidRDefault="009247F0" w:rsidP="009247F0">
      <w:pPr>
        <w:jc w:val="both"/>
        <w:rPr>
          <w:rFonts w:asciiTheme="minorHAnsi" w:hAnsiTheme="minorHAnsi" w:cstheme="minorHAnsi"/>
        </w:rPr>
      </w:pPr>
    </w:p>
    <w:p w14:paraId="52532604" w14:textId="475CA863" w:rsidR="009247F0" w:rsidRPr="00EE361A" w:rsidRDefault="009247F0" w:rsidP="009247F0">
      <w:pPr>
        <w:jc w:val="both"/>
        <w:rPr>
          <w:rFonts w:asciiTheme="minorHAnsi" w:hAnsiTheme="minorHAnsi" w:cstheme="minorHAnsi"/>
        </w:rPr>
      </w:pPr>
      <w:r w:rsidRPr="00EE361A">
        <w:rPr>
          <w:rFonts w:asciiTheme="minorHAnsi" w:hAnsiTheme="minorHAnsi" w:cstheme="minorHAnsi"/>
        </w:rPr>
        <w:lastRenderedPageBreak/>
        <w:t>The Covid-19 pandemic represented</w:t>
      </w:r>
      <w:r w:rsidR="004D2D51" w:rsidRPr="00EE361A">
        <w:rPr>
          <w:rFonts w:asciiTheme="minorHAnsi" w:hAnsiTheme="minorHAnsi" w:cstheme="minorHAnsi"/>
        </w:rPr>
        <w:t>,</w:t>
      </w:r>
      <w:r w:rsidRPr="00EE361A">
        <w:rPr>
          <w:rFonts w:asciiTheme="minorHAnsi" w:hAnsiTheme="minorHAnsi" w:cstheme="minorHAnsi"/>
        </w:rPr>
        <w:t xml:space="preserve"> in this sense</w:t>
      </w:r>
      <w:r w:rsidR="004D2D51" w:rsidRPr="00EE361A">
        <w:rPr>
          <w:rFonts w:asciiTheme="minorHAnsi" w:hAnsiTheme="minorHAnsi" w:cstheme="minorHAnsi"/>
        </w:rPr>
        <w:t>,</w:t>
      </w:r>
      <w:r w:rsidRPr="00EE361A">
        <w:rPr>
          <w:rFonts w:asciiTheme="minorHAnsi" w:hAnsiTheme="minorHAnsi" w:cstheme="minorHAnsi"/>
        </w:rPr>
        <w:t xml:space="preserve"> a pivotal moment in which the legitimacy of state authority, technocracy, and expertise was put to the test, resulting in the emergence of diverse forms of political mobilisation (Esmark, 2023). On the one hand, the pandemic emergency had a pacifying </w:t>
      </w:r>
      <w:r w:rsidR="00C928D5" w:rsidRPr="00EE361A">
        <w:rPr>
          <w:rFonts w:asciiTheme="minorHAnsi" w:hAnsiTheme="minorHAnsi" w:cstheme="minorHAnsi"/>
        </w:rPr>
        <w:t xml:space="preserve">– rally round the flag </w:t>
      </w:r>
      <w:r w:rsidRPr="00EE361A">
        <w:rPr>
          <w:rFonts w:asciiTheme="minorHAnsi" w:hAnsiTheme="minorHAnsi" w:cstheme="minorHAnsi"/>
        </w:rPr>
        <w:t xml:space="preserve">effect, </w:t>
      </w:r>
      <w:r w:rsidR="00D30C46" w:rsidRPr="00EE361A">
        <w:rPr>
          <w:rFonts w:asciiTheme="minorHAnsi" w:hAnsiTheme="minorHAnsi" w:cstheme="minorHAnsi"/>
        </w:rPr>
        <w:t xml:space="preserve">overcoming traditional party divisions, demanding the formation of grand coalitions and </w:t>
      </w:r>
      <w:r w:rsidRPr="00EE361A">
        <w:rPr>
          <w:rFonts w:asciiTheme="minorHAnsi" w:hAnsiTheme="minorHAnsi" w:cstheme="minorHAnsi"/>
        </w:rPr>
        <w:t xml:space="preserve">uniting populations in solidarity in the struggle against the virus that required extraordinary individual and collective efforts. (Della Porta 2022; Trenz et al. 2021). On the other hand, the emergency measures imposed significant limitations on civil liberties and individual freedoms, which were likely to be met with resistance, particularly from those segments of the population who had reason to fear economic loss (Cowden and Yuval-Davis, 2022; Della Porta, 2023). In the case of Greece, the advent of the COVID-19 pandemic coincided with a decade-long economic crisis, creating additional challenges for the most vulnerable groups, particularly the unemployed and migrants (Toumpalidou and Chatzikonstantinidou, 2023).  </w:t>
      </w:r>
    </w:p>
    <w:p w14:paraId="5AE63C45" w14:textId="77777777" w:rsidR="009247F0" w:rsidRPr="00EE361A" w:rsidRDefault="009247F0" w:rsidP="009247F0">
      <w:pPr>
        <w:jc w:val="both"/>
        <w:rPr>
          <w:rFonts w:asciiTheme="minorHAnsi" w:hAnsiTheme="minorHAnsi" w:cstheme="minorHAnsi"/>
        </w:rPr>
      </w:pPr>
    </w:p>
    <w:p w14:paraId="4DA31495" w14:textId="11B955F2" w:rsidR="009247F0" w:rsidRPr="00EE361A" w:rsidRDefault="00FE79CC" w:rsidP="009247F0">
      <w:pPr>
        <w:spacing w:line="254" w:lineRule="auto"/>
        <w:jc w:val="both"/>
        <w:rPr>
          <w:rFonts w:asciiTheme="minorHAnsi" w:hAnsiTheme="minorHAnsi" w:cstheme="minorHAnsi"/>
          <w:color w:val="000000"/>
          <w:sz w:val="20"/>
          <w:szCs w:val="20"/>
        </w:rPr>
      </w:pPr>
      <w:r w:rsidRPr="00EE361A">
        <w:rPr>
          <w:rFonts w:asciiTheme="minorHAnsi" w:hAnsiTheme="minorHAnsi" w:cstheme="minorHAnsi"/>
        </w:rPr>
        <w:t>Public</w:t>
      </w:r>
      <w:r w:rsidR="009247F0" w:rsidRPr="00EE361A">
        <w:rPr>
          <w:rFonts w:asciiTheme="minorHAnsi" w:hAnsiTheme="minorHAnsi" w:cstheme="minorHAnsi"/>
        </w:rPr>
        <w:t xml:space="preserve"> perception of the legitimacy of crisis management</w:t>
      </w:r>
      <w:r w:rsidRPr="00EE361A">
        <w:rPr>
          <w:rFonts w:asciiTheme="minorHAnsi" w:hAnsiTheme="minorHAnsi" w:cstheme="minorHAnsi"/>
        </w:rPr>
        <w:t xml:space="preserve"> </w:t>
      </w:r>
      <w:r w:rsidR="00EB1521" w:rsidRPr="00EE361A">
        <w:rPr>
          <w:rFonts w:asciiTheme="minorHAnsi" w:hAnsiTheme="minorHAnsi" w:cstheme="minorHAnsi"/>
        </w:rPr>
        <w:t xml:space="preserve">has </w:t>
      </w:r>
      <w:r w:rsidRPr="00EE361A">
        <w:rPr>
          <w:rFonts w:asciiTheme="minorHAnsi" w:hAnsiTheme="minorHAnsi" w:cstheme="minorHAnsi"/>
        </w:rPr>
        <w:t>been shaped to a significant degree by the news media through which c</w:t>
      </w:r>
      <w:r w:rsidR="009247F0" w:rsidRPr="00EE361A">
        <w:rPr>
          <w:rFonts w:asciiTheme="minorHAnsi" w:hAnsiTheme="minorHAnsi" w:cstheme="minorHAnsi"/>
        </w:rPr>
        <w:t xml:space="preserve">itizens learn about the potential harmful effects of the pandemic and to assess the trustworthiness of government and science in taking appropriate action </w:t>
      </w:r>
      <w:r w:rsidR="009247F0" w:rsidRPr="00EE361A">
        <w:rPr>
          <w:rFonts w:asciiTheme="minorHAnsi" w:hAnsiTheme="minorHAnsi" w:cstheme="minorHAnsi"/>
        </w:rPr>
        <w:fldChar w:fldCharType="begin"/>
      </w:r>
      <w:r w:rsidR="009247F0" w:rsidRPr="00EE361A">
        <w:rPr>
          <w:rFonts w:asciiTheme="minorHAnsi" w:hAnsiTheme="minorHAnsi" w:cstheme="minorHAnsi"/>
        </w:rPr>
        <w:instrText xml:space="preserve"> ADDIN ZOTERO_ITEM CSL_CITATION {"citationID":"IN2eG2Ax","properties":{"formattedCitation":"(Adam et al. 2023)","plainCitation":"(Adam et al. 2023)","noteIndex":0},"citationItems":[{"id":71,"uris":["http://zotero.org/users/7922128/items/Q38MZWUG"],"itemData":{"id":71,"type":"article-journal","abstract":"We analyze short-term media trust changes during the COVID-19 pandemic, their ideological drivers and consequences based on panel data in German-speaking Switzerland. We thereby differentiate trust in political information from different types of traditional and non-traditional media. COVID-19 serves as a natural experiment, in which citizens? media trust at the outbreak of the crisis is compared with the same variables after the severe lockdown measures were lifted. Our data reveal that (1) media trust is consequential as it is associated with people?s willingness to follow Covid-19 regulations; (2) media trust changes during the pandemic, with trust levels for most media decreasing, with the exception of public service broadcasting; (3) trust losses are hardly connected to ideological divides in Switzerland. Our findings highlight that public service broadcasting plays an exceptional role in the fight against a pandemic and that contrary to the US, no partisan trust divide occurs.","container-title":"Communication Research","DOI":"10.1177/00936502221127484","ISSN":"0093-6502","issue":"2","note":"publisher: SAGE Publications Inc","page":"205-229","title":"Media Trust and the COVID-19 Pandemic: An Analysis of Short-Term Trust Changes, Their Ideological Drivers and Consequences in Switzerland","volume":"50","author":[{"family":"Adam","given":"Silke"},{"family":"Urman","given":"Aleksandra"},{"family":"Arlt","given":"Dorothee"},{"family":"Gil-Lopez","given":"Teresa"},{"family":"Makhortykh","given":"Mykola"},{"family":"Maier","given":"Michaela"}],"issued":{"date-parts":[["2023",3,1]]}}}],"schema":"https://github.com/citation-style-language/schema/raw/master/csl-citation.json"} </w:instrText>
      </w:r>
      <w:r w:rsidR="009247F0" w:rsidRPr="00EE361A">
        <w:rPr>
          <w:rFonts w:asciiTheme="minorHAnsi" w:hAnsiTheme="minorHAnsi" w:cstheme="minorHAnsi"/>
        </w:rPr>
        <w:fldChar w:fldCharType="separate"/>
      </w:r>
      <w:r w:rsidR="009247F0" w:rsidRPr="00EE361A">
        <w:rPr>
          <w:rFonts w:asciiTheme="minorHAnsi" w:hAnsiTheme="minorHAnsi" w:cstheme="minorHAnsi"/>
        </w:rPr>
        <w:t>(Adam et al. 2023)</w:t>
      </w:r>
      <w:r w:rsidR="009247F0" w:rsidRPr="00EE361A">
        <w:rPr>
          <w:rFonts w:asciiTheme="minorHAnsi" w:hAnsiTheme="minorHAnsi" w:cstheme="minorHAnsi"/>
        </w:rPr>
        <w:fldChar w:fldCharType="end"/>
      </w:r>
      <w:r w:rsidR="009247F0" w:rsidRPr="00EE361A">
        <w:rPr>
          <w:rFonts w:asciiTheme="minorHAnsi" w:hAnsiTheme="minorHAnsi" w:cstheme="minorHAnsi"/>
        </w:rPr>
        <w:t xml:space="preserve">. </w:t>
      </w:r>
      <w:r w:rsidR="005E52A8" w:rsidRPr="00EE361A">
        <w:rPr>
          <w:rFonts w:asciiTheme="minorHAnsi" w:eastAsia="Cambria" w:hAnsiTheme="minorHAnsi" w:cstheme="minorHAnsi"/>
          <w:color w:val="000000"/>
        </w:rPr>
        <w:t xml:space="preserve">The </w:t>
      </w:r>
      <w:r w:rsidRPr="00EE361A">
        <w:rPr>
          <w:rFonts w:asciiTheme="minorHAnsi" w:eastAsia="Cambria" w:hAnsiTheme="minorHAnsi" w:cstheme="minorHAnsi"/>
          <w:color w:val="000000"/>
        </w:rPr>
        <w:t xml:space="preserve">news media are to be understood both as a mediator of knowledge and a catalyst for the formation of public opinion during crisis </w:t>
      </w:r>
      <w:r w:rsidRPr="00EE361A">
        <w:rPr>
          <w:rFonts w:asciiTheme="minorHAnsi" w:eastAsia="Cambria" w:hAnsiTheme="minorHAnsi" w:cstheme="minorHAnsi"/>
          <w:color w:val="000000"/>
        </w:rPr>
        <w:fldChar w:fldCharType="begin"/>
      </w:r>
      <w:r w:rsidRPr="00EE361A">
        <w:rPr>
          <w:rFonts w:asciiTheme="minorHAnsi" w:eastAsia="Cambria" w:hAnsiTheme="minorHAnsi" w:cstheme="minorHAnsi"/>
          <w:color w:val="000000"/>
        </w:rPr>
        <w:instrText xml:space="preserve"> ADDIN ZOTERO_ITEM CSL_CITATION {"citationID":"KXq1CAis","properties":{"formattedCitation":"(Michailidou and Trenz 2021)","plainCitation":"(Michailidou and Trenz 2021)","noteIndex":0},"citationItems":[{"id":16717,"uris":["http://zotero.org/users/7922128/items/RVVNLC7S"],"itemData":{"id":16717,"type":"article-journal","abstract":"In this article, we argue for a pragmatic understanding of the role of news media and journalism not as truth keepers but as truth mediators in the public sphere. In the current debate on ?post-truth politics? the emphasis is often put on the formulation of ethical guidelines and legal solutions to regain control over ?unbound journalism? or to re-establish truth in the news media. Instead of holding journalists individually accountable for the spread of fake news, we consider truth as an unstable outcome of fact-finding, information-seeking and contestation, where journalists act as professional brokers. Journalists are not individuals that are closer to facts or more devoted to truth than others. They are rather embedded in a professional field of journalism practices that help to establish the value of information in a trusted way that becomes acceptable and convincing for the majority. Standards and procedures of journalism can therefore not be applied in a way to detect truth in an absolute way and defend it against falsehood, but to approach truth in the most reliable and acceptable way. The truth value of information then becomes the (unstable) outcome of a democratically necessary procedure of critical debate facilitated by journalists.","container-title":"Media, Culture &amp; Society","DOI":"10.1177/01634437211040669","ISSN":"0163-4437","issue":"7","note":"publisher: SAGE Publications Ltd","page":"1340-1349","title":"Rethinking journalism standards in the era of post-truth politics: from truth keepers to truth mediators","volume":"43","author":[{"family":"Michailidou","given":"Asimina"},{"family":"Trenz","given":"Hans-Jörg"}],"issued":{"date-parts":[["2021",10,1]]}}}],"schema":"https://github.com/citation-style-language/schema/raw/master/csl-citation.json"} </w:instrText>
      </w:r>
      <w:r w:rsidRPr="00EE361A">
        <w:rPr>
          <w:rFonts w:asciiTheme="minorHAnsi" w:eastAsia="Cambria" w:hAnsiTheme="minorHAnsi" w:cstheme="minorHAnsi"/>
          <w:color w:val="000000"/>
        </w:rPr>
        <w:fldChar w:fldCharType="separate"/>
      </w:r>
      <w:r w:rsidRPr="00EE361A">
        <w:rPr>
          <w:rFonts w:asciiTheme="minorHAnsi" w:eastAsia="Cambria" w:hAnsiTheme="minorHAnsi" w:cstheme="minorHAnsi"/>
        </w:rPr>
        <w:t>(Michailidou and Trenz 2021)</w:t>
      </w:r>
      <w:r w:rsidRPr="00EE361A">
        <w:rPr>
          <w:rFonts w:asciiTheme="minorHAnsi" w:eastAsia="Cambria" w:hAnsiTheme="minorHAnsi" w:cstheme="minorHAnsi"/>
          <w:color w:val="000000"/>
        </w:rPr>
        <w:fldChar w:fldCharType="end"/>
      </w:r>
      <w:r w:rsidRPr="00EE361A">
        <w:rPr>
          <w:rFonts w:asciiTheme="minorHAnsi" w:eastAsia="Cambria" w:hAnsiTheme="minorHAnsi" w:cstheme="minorHAnsi"/>
          <w:color w:val="000000"/>
        </w:rPr>
        <w:t xml:space="preserve">. </w:t>
      </w:r>
      <w:r w:rsidR="009247F0" w:rsidRPr="00EE361A">
        <w:rPr>
          <w:rFonts w:asciiTheme="minorHAnsi" w:hAnsiTheme="minorHAnsi" w:cstheme="minorHAnsi"/>
        </w:rPr>
        <w:t xml:space="preserve">Media coverage is critical for understanding competing narratives of the crisis, which shape people’s perceptions on complex issues and mobilise support and opposition </w:t>
      </w:r>
      <w:r w:rsidR="009247F0" w:rsidRPr="00EE361A">
        <w:rPr>
          <w:rFonts w:asciiTheme="minorHAnsi" w:hAnsiTheme="minorHAnsi" w:cstheme="minorHAnsi"/>
        </w:rPr>
        <w:fldChar w:fldCharType="begin"/>
      </w:r>
      <w:r w:rsidR="009247F0" w:rsidRPr="00EE361A">
        <w:rPr>
          <w:rFonts w:asciiTheme="minorHAnsi" w:hAnsiTheme="minorHAnsi" w:cstheme="minorHAnsi"/>
        </w:rPr>
        <w:instrText xml:space="preserve"> ADDIN ZOTERO_ITEM CSL_CITATION {"citationID":"NF7TUPpZ","properties":{"formattedCitation":"(Chouliaraki and Georgiou 2019)","plainCitation":"(Chouliaraki and Georgiou 2019)","noteIndex":0},"citationItems":[{"id":19339,"uris":["http://zotero.org/users/7922128/items/YKP8IETA"],"itemData":{"id":19339,"type":"chapter","container-title":"Research Across the Humanities","event-place":"Edinburgh","ISBN":"978-1-4744-4321-0","note":"DOI: doi:10.1515/9781474443210-015","page":"184–204","publisher":"Edinburgh University Press","publisher-place":"Edinburgh","title":"The Digital Border: The Media of Refugee Reception during the 2015 ‘Migration Crisis’","URL":"https://doi.org/10.1515/9781474443210-015","author":[{"family":"Chouliaraki","given":"Lilie"},{"family":"Georgiou","given":"Myria"}],"accessed":{"date-parts":[["2025",4,1]]},"issued":{"date-parts":[["2019"]]}}}],"schema":"https://github.com/citation-style-language/schema/raw/master/csl-citation.json"} </w:instrText>
      </w:r>
      <w:r w:rsidR="009247F0" w:rsidRPr="00EE361A">
        <w:rPr>
          <w:rFonts w:asciiTheme="minorHAnsi" w:hAnsiTheme="minorHAnsi" w:cstheme="minorHAnsi"/>
        </w:rPr>
        <w:fldChar w:fldCharType="separate"/>
      </w:r>
      <w:r w:rsidR="009247F0" w:rsidRPr="00EE361A">
        <w:rPr>
          <w:rFonts w:asciiTheme="minorHAnsi" w:hAnsiTheme="minorHAnsi" w:cstheme="minorHAnsi"/>
        </w:rPr>
        <w:t>(Chouliaraki and Georgiou 2019)</w:t>
      </w:r>
      <w:r w:rsidR="009247F0" w:rsidRPr="00EE361A">
        <w:rPr>
          <w:rFonts w:asciiTheme="minorHAnsi" w:hAnsiTheme="minorHAnsi" w:cstheme="minorHAnsi"/>
        </w:rPr>
        <w:fldChar w:fldCharType="end"/>
      </w:r>
      <w:r w:rsidR="009247F0" w:rsidRPr="00EE361A">
        <w:rPr>
          <w:rFonts w:asciiTheme="minorHAnsi" w:hAnsiTheme="minorHAnsi" w:cstheme="minorHAnsi"/>
        </w:rPr>
        <w:t xml:space="preserve">. </w:t>
      </w:r>
      <w:r w:rsidRPr="00EE361A">
        <w:rPr>
          <w:rFonts w:asciiTheme="minorHAnsi" w:eastAsia="Cambria" w:hAnsiTheme="minorHAnsi" w:cstheme="minorHAnsi"/>
          <w:color w:val="000000"/>
        </w:rPr>
        <w:t>E</w:t>
      </w:r>
      <w:r w:rsidR="009247F0" w:rsidRPr="00EE361A">
        <w:rPr>
          <w:rFonts w:asciiTheme="minorHAnsi" w:eastAsia="Cambria" w:hAnsiTheme="minorHAnsi" w:cstheme="minorHAnsi"/>
          <w:color w:val="000000"/>
        </w:rPr>
        <w:t xml:space="preserve">xisting findings point to a media negativity bias that drives news selection and framing with a focus on catastrophe and scandal </w:t>
      </w:r>
      <w:r w:rsidR="009247F0" w:rsidRPr="00EE361A">
        <w:rPr>
          <w:rFonts w:asciiTheme="minorHAnsi" w:eastAsia="Cambria" w:hAnsiTheme="minorHAnsi" w:cstheme="minorHAnsi"/>
          <w:color w:val="000000"/>
        </w:rPr>
        <w:fldChar w:fldCharType="begin"/>
      </w:r>
      <w:r w:rsidR="009247F0" w:rsidRPr="00EE361A">
        <w:rPr>
          <w:rFonts w:asciiTheme="minorHAnsi" w:eastAsia="Cambria" w:hAnsiTheme="minorHAnsi" w:cstheme="minorHAnsi"/>
          <w:color w:val="000000"/>
        </w:rPr>
        <w:instrText xml:space="preserve"> ADDIN ZOTERO_ITEM CSL_CITATION {"citationID":"I4ZXwht8","properties":{"formattedCitation":"(Lengauer, Esser, and Berganza 2012; Soroka 2014)","plainCitation":"(Lengauer, Esser, and Berganza 2012; Soroka 2014)","noteIndex":0},"citationItems":[{"id":5690,"uris":["http://zotero.org/users/7922128/items/HJKT72H8"],"itemData":{"id":5690,"type":"article-journal","abstract":"The concept of negativity in political news has not reached the status of a homogenous, overarching theoretical concept. This article proposes conceptual understandings, categorizations and practical operationalizations of negativity in the news that reflect the consensus of existing work paying special attention to recent European research. This work aims to systematize existing concepts and categories in order to increase comparability and cumulativity of empirical evidence. To structure and standardize dimensions of negativity in the news we differentiate firstly between negativity and confrontation, secondly between frame-related negativity and individual actor-related negativity, and thirdly between non-directional and directional dimensions of negativity. This article provides a common set of indicators and matrice-based classifications of negativity (and its antithesis) in the news to measure and categorize its intensity and multi-dimensionality.","container-title":"Journalism","DOI":"10.1177/1464884911427800","issue":"2","page":"179-202","title":"Negativity in political news: A review of concepts, operationalizations and key findings","volume":"13","author":[{"family":"Lengauer","given":"Günther"},{"family":"Esser","given":"Frank"},{"family":"Berganza","given":"Rosa"}],"issued":{"date-parts":[["2012",2,1]]}}},{"id":7916,"uris":["http://zotero.org/users/7922128/items/HTE4UXJW"],"itemData":{"id":7916,"type":"book","event-place":"Cambridge","ISBN":"978-1-107-06329-7","publisher":"Cambridge University Press","publisher-place":"Cambridge","title":"Negativity in Democratic Politics: Causes and Consequences","URL":"http://books.google.dk/books?id=DGUZAwAAQBAJ","author":[{"family":"Soroka","given":"S.N."}],"issued":{"date-parts":[["2014"]]}}}],"schema":"https://github.com/citation-style-language/schema/raw/master/csl-citation.json"} </w:instrText>
      </w:r>
      <w:r w:rsidR="009247F0" w:rsidRPr="00EE361A">
        <w:rPr>
          <w:rFonts w:asciiTheme="minorHAnsi" w:eastAsia="Cambria" w:hAnsiTheme="minorHAnsi" w:cstheme="minorHAnsi"/>
          <w:color w:val="000000"/>
        </w:rPr>
        <w:fldChar w:fldCharType="separate"/>
      </w:r>
      <w:r w:rsidR="009247F0" w:rsidRPr="00EE361A">
        <w:rPr>
          <w:rFonts w:asciiTheme="minorHAnsi" w:eastAsia="Cambria" w:hAnsiTheme="minorHAnsi" w:cstheme="minorHAnsi"/>
        </w:rPr>
        <w:t>(Lengauer, Esser, and Berganza 2012; Soroka 2014)</w:t>
      </w:r>
      <w:r w:rsidR="009247F0" w:rsidRPr="00EE361A">
        <w:rPr>
          <w:rFonts w:asciiTheme="minorHAnsi" w:eastAsia="Cambria" w:hAnsiTheme="minorHAnsi" w:cstheme="minorHAnsi"/>
          <w:color w:val="000000"/>
        </w:rPr>
        <w:fldChar w:fldCharType="end"/>
      </w:r>
      <w:r w:rsidR="009247F0" w:rsidRPr="00EE361A">
        <w:rPr>
          <w:rFonts w:asciiTheme="minorHAnsi" w:eastAsia="Cambria" w:hAnsiTheme="minorHAnsi" w:cstheme="minorHAnsi"/>
          <w:color w:val="000000"/>
        </w:rPr>
        <w:t xml:space="preserve">. This goes hand in hand with an elitist bias, with mainstream journalists giving voice mainly to powerful actors such as the government and the main opposition parties </w:t>
      </w:r>
      <w:r w:rsidR="009247F0" w:rsidRPr="00EE361A">
        <w:rPr>
          <w:rFonts w:asciiTheme="minorHAnsi" w:eastAsia="Cambria" w:hAnsiTheme="minorHAnsi" w:cstheme="minorHAnsi"/>
          <w:color w:val="000000"/>
        </w:rPr>
        <w:fldChar w:fldCharType="begin"/>
      </w:r>
      <w:r w:rsidR="009247F0" w:rsidRPr="00EE361A">
        <w:rPr>
          <w:rFonts w:asciiTheme="minorHAnsi" w:eastAsia="Cambria" w:hAnsiTheme="minorHAnsi" w:cstheme="minorHAnsi"/>
          <w:color w:val="000000"/>
        </w:rPr>
        <w:instrText xml:space="preserve"> ADDIN ZOTERO_ITEM CSL_CITATION {"citationID":"1iyiFOJ3","properties":{"formattedCitation":"(Van Aelst and Walgrave 2016)","plainCitation":"(Van Aelst and Walgrave 2016)","noteIndex":0},"citationItems":[{"id":8443,"uris":["http://zotero.org/users/7922128/items/C2PFTNS9"],"itemData":{"id":8443,"type":"article-journal","container-title":"Journal of Communication","DOI":"10.1111/jcom.12229","ISSN":"00219916","title":"Information and Arena: The Dual Function of the News Media for Political Elites","author":[{"family":"Van Aelst","given":"Peter"},{"family":"Walgrave","given":"Stefaan"}],"issued":{"date-parts":[["2016"]]}}}],"schema":"https://github.com/citation-style-language/schema/raw/master/csl-citation.json"} </w:instrText>
      </w:r>
      <w:r w:rsidR="009247F0" w:rsidRPr="00EE361A">
        <w:rPr>
          <w:rFonts w:asciiTheme="minorHAnsi" w:eastAsia="Cambria" w:hAnsiTheme="minorHAnsi" w:cstheme="minorHAnsi"/>
          <w:color w:val="000000"/>
        </w:rPr>
        <w:fldChar w:fldCharType="separate"/>
      </w:r>
      <w:r w:rsidR="009247F0" w:rsidRPr="00EE361A">
        <w:rPr>
          <w:rFonts w:asciiTheme="minorHAnsi" w:eastAsia="Cambria" w:hAnsiTheme="minorHAnsi" w:cstheme="minorHAnsi"/>
        </w:rPr>
        <w:t>(Van Aelst and Walgrave 2016)</w:t>
      </w:r>
      <w:r w:rsidR="009247F0" w:rsidRPr="00EE361A">
        <w:rPr>
          <w:rFonts w:asciiTheme="minorHAnsi" w:eastAsia="Cambria" w:hAnsiTheme="minorHAnsi" w:cstheme="minorHAnsi"/>
          <w:color w:val="000000"/>
        </w:rPr>
        <w:fldChar w:fldCharType="end"/>
      </w:r>
      <w:r w:rsidR="009247F0" w:rsidRPr="00EE361A">
        <w:rPr>
          <w:rFonts w:asciiTheme="minorHAnsi" w:eastAsia="Cambria" w:hAnsiTheme="minorHAnsi" w:cstheme="minorHAnsi"/>
          <w:color w:val="000000"/>
        </w:rPr>
        <w:t>. The negative economic consequences of the crisis also directly threaten the independence of the media—especially in fragile economies such as Greece, where state funding</w:t>
      </w:r>
      <w:r w:rsidRPr="00EE361A">
        <w:rPr>
          <w:rFonts w:asciiTheme="minorHAnsi" w:eastAsia="Cambria" w:hAnsiTheme="minorHAnsi" w:cstheme="minorHAnsi"/>
          <w:color w:val="000000"/>
        </w:rPr>
        <w:t xml:space="preserve"> for journalism</w:t>
      </w:r>
      <w:r w:rsidR="009247F0" w:rsidRPr="00EE361A">
        <w:rPr>
          <w:rFonts w:asciiTheme="minorHAnsi" w:eastAsia="Cambria" w:hAnsiTheme="minorHAnsi" w:cstheme="minorHAnsi"/>
          <w:color w:val="000000"/>
        </w:rPr>
        <w:t xml:space="preserve"> has been distributed in a rather opaque manner—to the detriment of public trust in mainstream journalism (Eurobarometer, 2016; Reuters </w:t>
      </w:r>
      <w:r w:rsidR="00431A8C" w:rsidRPr="00EE361A">
        <w:rPr>
          <w:rFonts w:asciiTheme="minorHAnsi" w:eastAsia="Cambria" w:hAnsiTheme="minorHAnsi" w:cstheme="minorHAnsi"/>
          <w:color w:val="000000"/>
        </w:rPr>
        <w:t>I</w:t>
      </w:r>
      <w:r w:rsidR="009247F0" w:rsidRPr="00EE361A">
        <w:rPr>
          <w:rFonts w:asciiTheme="minorHAnsi" w:eastAsia="Cambria" w:hAnsiTheme="minorHAnsi" w:cstheme="minorHAnsi"/>
          <w:color w:val="000000"/>
        </w:rPr>
        <w:t>nstitute, 2022). In comparison, social media provide an arena for non-elite actors to raise their critical voice</w:t>
      </w:r>
      <w:r w:rsidR="00E85792" w:rsidRPr="00EE361A">
        <w:rPr>
          <w:rFonts w:asciiTheme="minorHAnsi" w:eastAsia="Cambria" w:hAnsiTheme="minorHAnsi" w:cstheme="minorHAnsi"/>
          <w:color w:val="000000"/>
        </w:rPr>
        <w:t>s</w:t>
      </w:r>
      <w:r w:rsidR="009247F0" w:rsidRPr="00EE361A">
        <w:rPr>
          <w:rFonts w:asciiTheme="minorHAnsi" w:eastAsia="Cambria" w:hAnsiTheme="minorHAnsi" w:cstheme="minorHAnsi"/>
          <w:color w:val="000000"/>
        </w:rPr>
        <w:t xml:space="preserve"> and for bottom-up mobilisation of resistance</w:t>
      </w:r>
      <w:r w:rsidRPr="00EE361A">
        <w:rPr>
          <w:rFonts w:asciiTheme="minorHAnsi" w:eastAsia="Cambria" w:hAnsiTheme="minorHAnsi" w:cstheme="minorHAnsi"/>
          <w:color w:val="000000"/>
        </w:rPr>
        <w:t xml:space="preserve">, which remains, however, often </w:t>
      </w:r>
      <w:r w:rsidR="009247F0" w:rsidRPr="00EE361A">
        <w:rPr>
          <w:rFonts w:asciiTheme="minorHAnsi" w:hAnsiTheme="minorHAnsi" w:cstheme="minorHAnsi"/>
        </w:rPr>
        <w:t xml:space="preserve">one-sidedly </w:t>
      </w:r>
      <w:r w:rsidRPr="00EE361A">
        <w:rPr>
          <w:rFonts w:asciiTheme="minorHAnsi" w:hAnsiTheme="minorHAnsi" w:cstheme="minorHAnsi"/>
        </w:rPr>
        <w:t xml:space="preserve">and is used </w:t>
      </w:r>
      <w:r w:rsidR="009247F0" w:rsidRPr="00EE361A">
        <w:rPr>
          <w:rFonts w:asciiTheme="minorHAnsi" w:hAnsiTheme="minorHAnsi" w:cstheme="minorHAnsi"/>
        </w:rPr>
        <w:t xml:space="preserve">to utter distrust and to spread disinformation and conspiracies about the pandemic </w:t>
      </w:r>
      <w:r w:rsidR="009247F0" w:rsidRPr="00EE361A">
        <w:rPr>
          <w:rFonts w:asciiTheme="minorHAnsi" w:hAnsiTheme="minorHAnsi" w:cstheme="minorHAnsi"/>
        </w:rPr>
        <w:fldChar w:fldCharType="begin"/>
      </w:r>
      <w:r w:rsidR="009247F0" w:rsidRPr="00EE361A">
        <w:rPr>
          <w:rFonts w:asciiTheme="minorHAnsi" w:hAnsiTheme="minorHAnsi" w:cstheme="minorHAnsi"/>
        </w:rPr>
        <w:instrText xml:space="preserve"> ADDIN ZOTERO_ITEM CSL_CITATION {"citationID":"eBtOcnLF","properties":{"formattedCitation":"(Cowden and Yuval-Davis 2022; Vosoughi, Roy, and Aral 2018)","plainCitation":"(Cowden and Yuval-Davis 2022; Vosoughi, Roy, and Aral 2018)","noteIndex":0},"citationItems":[{"id":18987,"uris":["http://zotero.org/users/7922128/items/GS7GELE6"],"itemData":{"id":18987,"type":"article-journal","container-title":"Femminist Dissent","DOI":"https://doi.org/10.31273/fd.n6.2022.1264","title":"Contested Narratives of the Pandemic Crisis. The Far Right, Anti-Vaxxers and Freedom of Speech","volume":"6","author":[{"family":"Cowden","given":"S"},{"family":"Yuval-Davis","given":"N"}],"issued":{"date-parts":[["2022"]]}}},{"id":19340,"uris":["http://zotero.org/users/7922128/items/C6LGWG69"],"itemData":{"id":19340,"type":"article-journal","abstract":"There is worldwide concern over false news and the possibility that it can influence political, economic, and social well-being. To understand how false news spreads, Vosoughi et al. used a data set of rumor cascades on Twitter from 2006 to 2017. About 126,000 rumors were spread by ?3 million people. False news reached more people than the truth; the top 1% of false news cascades diffused to between 1000 and 100,000 people, whereas the truth rarely diffused to more than 1000 people. Falsehood also diffused faster than the truth. The degree of novelty and the emotional reactions of recipients may be responsible for the differences observed. Science, this issue p. 1146 A large-scale analysis of tweets reveals that false rumors spread further and faster than the truth. We investigated the differential diffusion of all of the verified true and false news stories distributed on Twitter from 2006 to 2017. The data comprise ~126,000 stories tweeted by ~3 million people more than 4.5 million times. We classified news as true or false using information from six independent fact-checking organizations that exhibited 95 to 98% agreement on the classifications. Falsehood diffused significantly farther, faster, deeper, and more broadly than the truth in all categories of information, and the effects were more pronounced for false political news than for false news about terrorism, natural disasters, science, urban legends, or financial information. We found that false news was more novel than true news, which suggests that people were more likely to share novel information. Whereas false stories inspired fear, disgust, and surprise in replies, true stories inspired anticipation, sadness, joy, and trust. Contrary to conventional wisdom, robots accelerated the spread of true and false news at the same rate, implying that false news spreads more than the truth because humans, not robots, are more likely to spread it.","container-title":"Science","DOI":"10.1126/science.aap9559","issue":"6380","journalAbbreviation":"Science","note":"publisher: American Association for the Advancement of Science","page":"1146-1151","title":"The spread of true and false news online","volume":"359","author":[{"family":"Vosoughi","given":"Soroush"},{"family":"Roy","given":"Deb"},{"family":"Aral","given":"Sinan"}],"issued":{"date-parts":[["2018",3,9]]}}}],"schema":"https://github.com/citation-style-language/schema/raw/master/csl-citation.json"} </w:instrText>
      </w:r>
      <w:r w:rsidR="009247F0" w:rsidRPr="00EE361A">
        <w:rPr>
          <w:rFonts w:asciiTheme="minorHAnsi" w:hAnsiTheme="minorHAnsi" w:cstheme="minorHAnsi"/>
        </w:rPr>
        <w:fldChar w:fldCharType="separate"/>
      </w:r>
      <w:r w:rsidR="009247F0" w:rsidRPr="00EE361A">
        <w:rPr>
          <w:rFonts w:asciiTheme="minorHAnsi" w:hAnsiTheme="minorHAnsi" w:cstheme="minorHAnsi"/>
        </w:rPr>
        <w:t>(Cowden and Yuval-Davis 2022; Vosoughi, Roy, and Aral 2018)</w:t>
      </w:r>
      <w:r w:rsidR="009247F0" w:rsidRPr="00EE361A">
        <w:rPr>
          <w:rFonts w:asciiTheme="minorHAnsi" w:hAnsiTheme="minorHAnsi" w:cstheme="minorHAnsi"/>
        </w:rPr>
        <w:fldChar w:fldCharType="end"/>
      </w:r>
      <w:r w:rsidR="009247F0" w:rsidRPr="00EE361A">
        <w:rPr>
          <w:rFonts w:asciiTheme="minorHAnsi" w:hAnsiTheme="minorHAnsi" w:cstheme="minorHAnsi"/>
        </w:rPr>
        <w:t xml:space="preserve">. </w:t>
      </w:r>
    </w:p>
    <w:p w14:paraId="7C65AB92" w14:textId="77777777" w:rsidR="009247F0" w:rsidRPr="00EE361A" w:rsidRDefault="009247F0" w:rsidP="009247F0">
      <w:pPr>
        <w:jc w:val="both"/>
        <w:rPr>
          <w:rFonts w:asciiTheme="minorHAnsi" w:eastAsiaTheme="minorHAnsi" w:hAnsiTheme="minorHAnsi" w:cstheme="minorHAnsi"/>
          <w:i/>
          <w:iCs/>
          <w:kern w:val="2"/>
          <w:lang w:eastAsia="en-US"/>
          <w14:ligatures w14:val="standardContextual"/>
        </w:rPr>
      </w:pPr>
    </w:p>
    <w:p w14:paraId="6374064F" w14:textId="30DA9FB1" w:rsidR="009247F0" w:rsidRPr="00EE361A" w:rsidRDefault="00B9144B" w:rsidP="009247F0">
      <w:pPr>
        <w:jc w:val="both"/>
        <w:rPr>
          <w:rFonts w:asciiTheme="minorHAnsi" w:eastAsiaTheme="minorHAnsi" w:hAnsiTheme="minorHAnsi" w:cstheme="minorHAnsi"/>
          <w:kern w:val="2"/>
          <w:lang w:eastAsia="en-US"/>
          <w14:ligatures w14:val="standardContextual"/>
        </w:rPr>
      </w:pPr>
      <w:r w:rsidRPr="00EE361A">
        <w:rPr>
          <w:rFonts w:asciiTheme="minorHAnsi" w:hAnsiTheme="minorHAnsi" w:cstheme="minorHAnsi"/>
        </w:rPr>
        <w:t>Th</w:t>
      </w:r>
      <w:r w:rsidR="00FD0E54" w:rsidRPr="00EE361A">
        <w:rPr>
          <w:rFonts w:asciiTheme="minorHAnsi" w:hAnsiTheme="minorHAnsi" w:cstheme="minorHAnsi"/>
        </w:rPr>
        <w:t>is</w:t>
      </w:r>
      <w:r w:rsidRPr="00EE361A">
        <w:rPr>
          <w:rFonts w:asciiTheme="minorHAnsi" w:hAnsiTheme="minorHAnsi" w:cstheme="minorHAnsi"/>
        </w:rPr>
        <w:t xml:space="preserve"> article intends to contribute to this scholarship on legitimation </w:t>
      </w:r>
      <w:r w:rsidR="00C928D5" w:rsidRPr="00EE361A">
        <w:rPr>
          <w:rFonts w:asciiTheme="minorHAnsi" w:hAnsiTheme="minorHAnsi" w:cstheme="minorHAnsi"/>
        </w:rPr>
        <w:t>by emphasising how the interplay between state authority, scientific expertise, and media communication shaped public debate during the pandemic</w:t>
      </w:r>
      <w:r w:rsidRPr="00EE361A">
        <w:rPr>
          <w:rFonts w:asciiTheme="minorHAnsi" w:hAnsiTheme="minorHAnsi" w:cstheme="minorHAnsi"/>
        </w:rPr>
        <w:t xml:space="preserve">. Rather than focusing solely on institutional crisis management, our approach highlights how discursive strategies and actor alliances shape perceptions of legitimacy from a long term perspective of </w:t>
      </w:r>
      <w:r w:rsidR="009247F0" w:rsidRPr="00EE361A">
        <w:rPr>
          <w:rFonts w:asciiTheme="minorHAnsi" w:eastAsiaTheme="minorHAnsi" w:hAnsiTheme="minorHAnsi" w:cstheme="minorHAnsi"/>
          <w:kern w:val="2"/>
          <w:lang w:eastAsia="en-US"/>
          <w14:ligatures w14:val="standardContextual"/>
        </w:rPr>
        <w:t xml:space="preserve">Greece’s </w:t>
      </w:r>
      <w:r w:rsidRPr="00EE361A">
        <w:rPr>
          <w:rFonts w:asciiTheme="minorHAnsi" w:eastAsiaTheme="minorHAnsi" w:hAnsiTheme="minorHAnsi" w:cstheme="minorHAnsi"/>
          <w:kern w:val="2"/>
          <w:lang w:eastAsia="en-US"/>
          <w14:ligatures w14:val="standardContextual"/>
        </w:rPr>
        <w:t>enduring</w:t>
      </w:r>
      <w:r w:rsidR="009247F0" w:rsidRPr="00EE361A">
        <w:rPr>
          <w:rFonts w:asciiTheme="minorHAnsi" w:eastAsiaTheme="minorHAnsi" w:hAnsiTheme="minorHAnsi" w:cstheme="minorHAnsi"/>
          <w:kern w:val="2"/>
          <w:lang w:eastAsia="en-US"/>
          <w14:ligatures w14:val="standardContextual"/>
        </w:rPr>
        <w:t xml:space="preserve"> crises</w:t>
      </w:r>
      <w:r w:rsidRPr="00EE361A">
        <w:rPr>
          <w:rFonts w:asciiTheme="minorHAnsi" w:eastAsiaTheme="minorHAnsi" w:hAnsiTheme="minorHAnsi" w:cstheme="minorHAnsi"/>
          <w:kern w:val="2"/>
          <w:lang w:eastAsia="en-US"/>
          <w14:ligatures w14:val="standardContextual"/>
        </w:rPr>
        <w:t>. There ha</w:t>
      </w:r>
      <w:r w:rsidR="006F4D1A" w:rsidRPr="00EE361A">
        <w:rPr>
          <w:rFonts w:asciiTheme="minorHAnsi" w:eastAsiaTheme="minorHAnsi" w:hAnsiTheme="minorHAnsi" w:cstheme="minorHAnsi"/>
          <w:kern w:val="2"/>
          <w:lang w:eastAsia="en-US"/>
          <w14:ligatures w14:val="standardContextual"/>
        </w:rPr>
        <w:t>ve</w:t>
      </w:r>
      <w:r w:rsidRPr="00EE361A">
        <w:rPr>
          <w:rFonts w:asciiTheme="minorHAnsi" w:eastAsiaTheme="minorHAnsi" w:hAnsiTheme="minorHAnsi" w:cstheme="minorHAnsi"/>
          <w:kern w:val="2"/>
          <w:lang w:eastAsia="en-US"/>
          <w14:ligatures w14:val="standardContextual"/>
        </w:rPr>
        <w:t xml:space="preserve"> always been high levels of political mobilisation in Greece during times of crisis. </w:t>
      </w:r>
      <w:r w:rsidR="009247F0" w:rsidRPr="00EE361A">
        <w:rPr>
          <w:rFonts w:asciiTheme="minorHAnsi" w:eastAsiaTheme="minorHAnsi" w:hAnsiTheme="minorHAnsi" w:cstheme="minorHAnsi"/>
          <w:kern w:val="2"/>
          <w:lang w:eastAsia="en-US"/>
          <w14:ligatures w14:val="standardContextual"/>
        </w:rPr>
        <w:t xml:space="preserve">During the sovereign-debt crisis (2010–2015), austerity measures imposed under EU supervision provoked widespread mobilisation, strikes, and intense blame </w:t>
      </w:r>
      <w:r w:rsidR="009247F0" w:rsidRPr="00EE361A">
        <w:rPr>
          <w:rFonts w:asciiTheme="minorHAnsi" w:eastAsiaTheme="minorHAnsi" w:hAnsiTheme="minorHAnsi" w:cstheme="minorHAnsi"/>
          <w:kern w:val="2"/>
          <w:lang w:eastAsia="en-US"/>
          <w14:ligatures w14:val="standardContextual"/>
        </w:rPr>
        <w:lastRenderedPageBreak/>
        <w:t>attribution among the government, opposition, and external actors</w:t>
      </w:r>
      <w:r w:rsidR="0020180B" w:rsidRPr="00EE361A">
        <w:rPr>
          <w:rFonts w:asciiTheme="minorHAnsi" w:eastAsiaTheme="minorHAnsi" w:hAnsiTheme="minorHAnsi" w:cstheme="minorHAnsi"/>
          <w:kern w:val="2"/>
          <w:lang w:eastAsia="en-US"/>
          <w14:ligatures w14:val="standardContextual"/>
        </w:rPr>
        <w:t>,</w:t>
      </w:r>
      <w:r w:rsidR="009247F0" w:rsidRPr="00EE361A">
        <w:rPr>
          <w:rFonts w:asciiTheme="minorHAnsi" w:eastAsiaTheme="minorHAnsi" w:hAnsiTheme="minorHAnsi" w:cstheme="minorHAnsi"/>
          <w:kern w:val="2"/>
          <w:lang w:eastAsia="en-US"/>
          <w14:ligatures w14:val="standardContextual"/>
        </w:rPr>
        <w:t xml:space="preserve"> such as Germany and the EU (Lyrintzis 2011; Diani &amp; Kousis 2014; Roose et al. 2018; Kouki &amp; Liakos 2015). The refugee crisis (2015–2016) similarly produced high levels of contention across ideological lines, with protests and polarised narratives in both mainstream and social media (Paschou et al. 2022; Cinalli et al. 2021; Siapera 2019). Compared with these confrontational episodes, the Covid-19 crisis generated lower-intensity and more mediated forms of dissent. Public responses were expressed mainly through online commentary, selective protests, and discursive critique rather than mass mobilisation. This shift </w:t>
      </w:r>
      <w:r w:rsidR="00C928D5" w:rsidRPr="00EE361A">
        <w:rPr>
          <w:rFonts w:asciiTheme="minorHAnsi" w:eastAsiaTheme="minorHAnsi" w:hAnsiTheme="minorHAnsi" w:cstheme="minorHAnsi"/>
          <w:kern w:val="2"/>
          <w:lang w:eastAsia="en-US"/>
          <w14:ligatures w14:val="standardContextual"/>
        </w:rPr>
        <w:t xml:space="preserve">indicates </w:t>
      </w:r>
      <w:r w:rsidR="009247F0" w:rsidRPr="00EE361A">
        <w:rPr>
          <w:rFonts w:asciiTheme="minorHAnsi" w:eastAsiaTheme="minorHAnsi" w:hAnsiTheme="minorHAnsi" w:cstheme="minorHAnsi"/>
          <w:kern w:val="2"/>
          <w:lang w:eastAsia="en-US"/>
          <w14:ligatures w14:val="standardContextual"/>
        </w:rPr>
        <w:t>a transformation in Greece’s crisis politics—from direct confrontation to the communicative management of discontent.</w:t>
      </w:r>
    </w:p>
    <w:p w14:paraId="7522F1B8" w14:textId="77777777" w:rsidR="009247F0" w:rsidRPr="00EE361A" w:rsidRDefault="009247F0" w:rsidP="009247F0">
      <w:pPr>
        <w:jc w:val="both"/>
        <w:rPr>
          <w:rFonts w:asciiTheme="minorHAnsi" w:eastAsiaTheme="minorHAnsi" w:hAnsiTheme="minorHAnsi" w:cstheme="minorHAnsi"/>
          <w:kern w:val="2"/>
          <w:lang w:eastAsia="en-US"/>
          <w14:ligatures w14:val="standardContextual"/>
        </w:rPr>
      </w:pPr>
    </w:p>
    <w:p w14:paraId="58A004B2" w14:textId="00EFC183" w:rsidR="009247F0" w:rsidRPr="00EE361A" w:rsidRDefault="009247F0" w:rsidP="009247F0">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To interpret these trajectories, the study advances two ideal-type scenarios</w:t>
      </w:r>
      <w:r w:rsidR="006A5EEF" w:rsidRPr="00EE361A">
        <w:rPr>
          <w:rFonts w:asciiTheme="minorHAnsi" w:eastAsiaTheme="minorHAnsi" w:hAnsiTheme="minorHAnsi" w:cstheme="minorHAnsi"/>
          <w:kern w:val="2"/>
          <w:lang w:eastAsia="en-US"/>
          <w14:ligatures w14:val="standardContextual"/>
        </w:rPr>
        <w:t xml:space="preserve"> </w:t>
      </w:r>
      <w:r w:rsidR="00C928D5" w:rsidRPr="00EE361A">
        <w:rPr>
          <w:rFonts w:asciiTheme="minorHAnsi" w:eastAsiaTheme="minorHAnsi" w:hAnsiTheme="minorHAnsi" w:cstheme="minorHAnsi"/>
          <w:kern w:val="2"/>
          <w:lang w:eastAsia="en-US"/>
          <w14:ligatures w14:val="standardContextual"/>
        </w:rPr>
        <w:t>illustrating</w:t>
      </w:r>
      <w:r w:rsidRPr="00EE361A">
        <w:rPr>
          <w:rFonts w:asciiTheme="minorHAnsi" w:eastAsiaTheme="minorHAnsi" w:hAnsiTheme="minorHAnsi" w:cstheme="minorHAnsi"/>
          <w:kern w:val="2"/>
          <w:lang w:eastAsia="en-US"/>
          <w14:ligatures w14:val="standardContextual"/>
        </w:rPr>
        <w:t xml:space="preserve"> shifting alignments among government actors, scientists, and civil society throughout the pandemic</w:t>
      </w:r>
      <w:r w:rsidR="00E226E0" w:rsidRPr="00EE361A">
        <w:rPr>
          <w:rFonts w:asciiTheme="minorHAnsi" w:eastAsiaTheme="minorHAnsi" w:hAnsiTheme="minorHAnsi" w:cstheme="minorHAnsi"/>
          <w:kern w:val="2"/>
          <w:lang w:eastAsia="en-US"/>
          <w14:ligatures w14:val="standardContextual"/>
        </w:rPr>
        <w:t>:</w:t>
      </w:r>
      <w:r w:rsidRPr="00EE361A">
        <w:rPr>
          <w:rFonts w:asciiTheme="minorHAnsi" w:eastAsiaTheme="minorHAnsi" w:hAnsiTheme="minorHAnsi" w:cstheme="minorHAnsi"/>
          <w:kern w:val="2"/>
          <w:lang w:eastAsia="en-US"/>
          <w14:ligatures w14:val="standardContextual"/>
        </w:rPr>
        <w:t xml:space="preserve"> </w:t>
      </w:r>
    </w:p>
    <w:p w14:paraId="0DE10D3D" w14:textId="77777777" w:rsidR="009247F0" w:rsidRPr="00EE361A" w:rsidRDefault="009247F0" w:rsidP="009247F0">
      <w:pPr>
        <w:jc w:val="both"/>
        <w:rPr>
          <w:rFonts w:asciiTheme="minorHAnsi" w:eastAsiaTheme="minorHAnsi" w:hAnsiTheme="minorHAnsi" w:cstheme="minorHAnsi"/>
          <w:kern w:val="2"/>
          <w:lang w:eastAsia="en-US"/>
          <w14:ligatures w14:val="standardContextual"/>
        </w:rPr>
      </w:pPr>
    </w:p>
    <w:p w14:paraId="0DC59835" w14:textId="7182FA9F" w:rsidR="009247F0" w:rsidRPr="00EE361A" w:rsidRDefault="009247F0" w:rsidP="009247F0">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The</w:t>
      </w:r>
      <w:r w:rsidR="006A5EEF" w:rsidRPr="00EE361A">
        <w:rPr>
          <w:rFonts w:asciiTheme="minorHAnsi" w:eastAsiaTheme="minorHAnsi" w:hAnsiTheme="minorHAnsi" w:cstheme="minorHAnsi"/>
          <w:kern w:val="2"/>
          <w:lang w:eastAsia="en-US"/>
          <w14:ligatures w14:val="standardContextual"/>
        </w:rPr>
        <w:t xml:space="preserve"> </w:t>
      </w:r>
      <w:r w:rsidRPr="00EE361A">
        <w:rPr>
          <w:rFonts w:asciiTheme="minorHAnsi" w:eastAsiaTheme="minorHAnsi" w:hAnsiTheme="minorHAnsi" w:cstheme="minorHAnsi"/>
          <w:b/>
          <w:bCs/>
          <w:kern w:val="2"/>
          <w:lang w:eastAsia="en-US"/>
          <w14:ligatures w14:val="standardContextual"/>
        </w:rPr>
        <w:t>rebellion scenario</w:t>
      </w:r>
      <w:r w:rsidR="00420397" w:rsidRPr="00EE361A">
        <w:rPr>
          <w:rFonts w:asciiTheme="minorHAnsi" w:eastAsiaTheme="minorHAnsi" w:hAnsiTheme="minorHAnsi" w:cstheme="minorHAnsi"/>
          <w:kern w:val="2"/>
          <w:lang w:eastAsia="en-US"/>
          <w14:ligatures w14:val="standardContextual"/>
        </w:rPr>
        <w:t xml:space="preserve"> </w:t>
      </w:r>
      <w:r w:rsidRPr="00EE361A">
        <w:rPr>
          <w:rFonts w:asciiTheme="minorHAnsi" w:eastAsiaTheme="minorHAnsi" w:hAnsiTheme="minorHAnsi" w:cstheme="minorHAnsi"/>
          <w:kern w:val="2"/>
          <w:lang w:eastAsia="en-US"/>
          <w14:ligatures w14:val="standardContextual"/>
        </w:rPr>
        <w:t>describes a configuration in which concentrated, top-down decision-making without consultation provokes visible opposition and resistance. Contestation becomes reciprocal: governmental repression from above encounters social and political mobilisation from below. This pattern typically emerges in later stages of crisis management, when fatigue, perceived inconsistencies, and the politicisation of expertise erode earlier compliance.</w:t>
      </w:r>
    </w:p>
    <w:p w14:paraId="706CE1D2" w14:textId="77777777" w:rsidR="009247F0" w:rsidRPr="00EE361A" w:rsidRDefault="009247F0" w:rsidP="009247F0">
      <w:pPr>
        <w:jc w:val="both"/>
        <w:rPr>
          <w:rFonts w:asciiTheme="minorHAnsi" w:eastAsiaTheme="minorHAnsi" w:hAnsiTheme="minorHAnsi" w:cstheme="minorHAnsi"/>
          <w:kern w:val="2"/>
          <w:lang w:eastAsia="en-US"/>
          <w14:ligatures w14:val="standardContextual"/>
        </w:rPr>
      </w:pPr>
    </w:p>
    <w:p w14:paraId="1C203AD0" w14:textId="02132ECC" w:rsidR="009247F0" w:rsidRPr="00EE361A" w:rsidRDefault="009247F0" w:rsidP="009247F0">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The</w:t>
      </w:r>
      <w:r w:rsidR="006A5EEF" w:rsidRPr="00EE361A">
        <w:rPr>
          <w:rFonts w:asciiTheme="minorHAnsi" w:eastAsiaTheme="minorHAnsi" w:hAnsiTheme="minorHAnsi" w:cstheme="minorHAnsi"/>
          <w:kern w:val="2"/>
          <w:lang w:eastAsia="en-US"/>
          <w14:ligatures w14:val="standardContextual"/>
        </w:rPr>
        <w:t xml:space="preserve"> </w:t>
      </w:r>
      <w:r w:rsidRPr="00EE361A">
        <w:rPr>
          <w:rFonts w:asciiTheme="minorHAnsi" w:eastAsiaTheme="minorHAnsi" w:hAnsiTheme="minorHAnsi" w:cstheme="minorHAnsi"/>
          <w:b/>
          <w:bCs/>
          <w:kern w:val="2"/>
          <w:lang w:eastAsia="en-US"/>
          <w14:ligatures w14:val="standardContextual"/>
        </w:rPr>
        <w:t>paternalistic “rally-round-the-flag” scenario</w:t>
      </w:r>
      <w:r w:rsidR="00420397" w:rsidRPr="00EE361A">
        <w:rPr>
          <w:rFonts w:asciiTheme="minorHAnsi" w:eastAsiaTheme="minorHAnsi" w:hAnsiTheme="minorHAnsi" w:cstheme="minorHAnsi"/>
          <w:b/>
          <w:bCs/>
          <w:kern w:val="2"/>
          <w:lang w:eastAsia="en-US"/>
          <w14:ligatures w14:val="standardContextual"/>
        </w:rPr>
        <w:t xml:space="preserve"> </w:t>
      </w:r>
      <w:r w:rsidRPr="00EE361A">
        <w:rPr>
          <w:rFonts w:asciiTheme="minorHAnsi" w:eastAsiaTheme="minorHAnsi" w:hAnsiTheme="minorHAnsi" w:cstheme="minorHAnsi"/>
          <w:kern w:val="2"/>
          <w:lang w:eastAsia="en-US"/>
          <w14:ligatures w14:val="standardContextual"/>
        </w:rPr>
        <w:t>depicts the opposite configuration</w:t>
      </w:r>
      <w:r w:rsidR="00E226E0" w:rsidRPr="00EE361A">
        <w:rPr>
          <w:rFonts w:asciiTheme="minorHAnsi" w:eastAsiaTheme="minorHAnsi" w:hAnsiTheme="minorHAnsi" w:cstheme="minorHAnsi"/>
          <w:kern w:val="2"/>
          <w:lang w:eastAsia="en-US"/>
          <w14:ligatures w14:val="standardContextual"/>
        </w:rPr>
        <w:t>.</w:t>
      </w:r>
      <w:r w:rsidRPr="00EE361A">
        <w:rPr>
          <w:rFonts w:asciiTheme="minorHAnsi" w:eastAsiaTheme="minorHAnsi" w:hAnsiTheme="minorHAnsi" w:cstheme="minorHAnsi"/>
          <w:kern w:val="2"/>
          <w:lang w:eastAsia="en-US"/>
          <w14:ligatures w14:val="standardContextual"/>
        </w:rPr>
        <w:t xml:space="preserve"> Here, state authorities and scientific experts act in concert, monopolising the crisis narrative through appeals to unity, discipline, and moral responsibility. Communication is hierarchical and prescriptive rather than deliberative, generating widespread cooperation and limited overt resistance.</w:t>
      </w:r>
    </w:p>
    <w:p w14:paraId="1B7D0B44" w14:textId="77777777" w:rsidR="009247F0" w:rsidRPr="00EE361A" w:rsidRDefault="009247F0" w:rsidP="009247F0">
      <w:pPr>
        <w:jc w:val="both"/>
        <w:rPr>
          <w:rFonts w:asciiTheme="minorHAnsi" w:eastAsiaTheme="minorHAnsi" w:hAnsiTheme="minorHAnsi" w:cstheme="minorHAnsi"/>
          <w:kern w:val="2"/>
          <w:lang w:eastAsia="en-US"/>
          <w14:ligatures w14:val="standardContextual"/>
        </w:rPr>
      </w:pPr>
    </w:p>
    <w:p w14:paraId="0A8424E8" w14:textId="69642B0B" w:rsidR="009247F0" w:rsidRPr="00EE361A" w:rsidRDefault="00E226E0" w:rsidP="005E522E">
      <w:pPr>
        <w:jc w:val="both"/>
      </w:pPr>
      <w:r w:rsidRPr="00EE361A">
        <w:rPr>
          <w:rFonts w:asciiTheme="minorHAnsi" w:eastAsiaTheme="minorHAnsi" w:hAnsiTheme="minorHAnsi" w:cstheme="minorHAnsi"/>
          <w:kern w:val="2"/>
          <w:lang w:eastAsia="en-US"/>
          <w14:ligatures w14:val="standardContextual"/>
        </w:rPr>
        <w:t xml:space="preserve">These scenarios serve as analytical frameworks for the empirical sections that follow, </w:t>
      </w:r>
      <w:r w:rsidR="00104C16" w:rsidRPr="00EE361A">
        <w:rPr>
          <w:rFonts w:asciiTheme="minorHAnsi" w:eastAsiaTheme="minorHAnsi" w:hAnsiTheme="minorHAnsi" w:cstheme="minorHAnsi"/>
          <w:kern w:val="2"/>
          <w:lang w:eastAsia="en-US"/>
          <w14:ligatures w14:val="standardContextual"/>
        </w:rPr>
        <w:t xml:space="preserve">helping to interpret </w:t>
      </w:r>
      <w:r w:rsidRPr="00EE361A">
        <w:rPr>
          <w:rFonts w:asciiTheme="minorHAnsi" w:eastAsiaTheme="minorHAnsi" w:hAnsiTheme="minorHAnsi" w:cstheme="minorHAnsi"/>
          <w:kern w:val="2"/>
          <w:lang w:eastAsia="en-US"/>
          <w14:ligatures w14:val="standardContextual"/>
        </w:rPr>
        <w:t>how claims in online and social media reflected confrontation or accommodation toward governmental crisis management</w:t>
      </w:r>
      <w:r w:rsidR="005E522E" w:rsidRPr="00EE361A">
        <w:rPr>
          <w:rFonts w:asciiTheme="minorHAnsi" w:eastAsiaTheme="minorHAnsi" w:hAnsiTheme="minorHAnsi" w:cstheme="minorHAnsi"/>
          <w:kern w:val="2"/>
          <w:lang w:eastAsia="en-US"/>
          <w14:ligatures w14:val="standardContextual"/>
        </w:rPr>
        <w:t>.</w:t>
      </w:r>
    </w:p>
    <w:p w14:paraId="1A15F498" w14:textId="77777777" w:rsidR="009247F0" w:rsidRPr="00EE361A" w:rsidRDefault="009247F0" w:rsidP="009247F0">
      <w:pPr>
        <w:pStyle w:val="Titolo1"/>
        <w:rPr>
          <w:rFonts w:asciiTheme="minorHAnsi" w:hAnsiTheme="minorHAnsi" w:cstheme="minorHAnsi"/>
        </w:rPr>
      </w:pPr>
      <w:r w:rsidRPr="00EE361A">
        <w:rPr>
          <w:rFonts w:asciiTheme="minorHAnsi" w:hAnsiTheme="minorHAnsi" w:cstheme="minorHAnsi"/>
        </w:rPr>
        <w:t xml:space="preserve">Methods of research and data description </w:t>
      </w:r>
    </w:p>
    <w:p w14:paraId="57553193" w14:textId="77777777" w:rsidR="009247F0" w:rsidRPr="00EE361A" w:rsidRDefault="009247F0" w:rsidP="009247F0">
      <w:pPr>
        <w:jc w:val="both"/>
        <w:rPr>
          <w:rFonts w:asciiTheme="minorHAnsi" w:hAnsiTheme="minorHAnsi" w:cstheme="minorHAnsi"/>
        </w:rPr>
      </w:pPr>
    </w:p>
    <w:p w14:paraId="7A5BC3BE" w14:textId="68063BFB" w:rsidR="009247F0" w:rsidRPr="00EE361A" w:rsidRDefault="00C522E5" w:rsidP="009247F0">
      <w:pPr>
        <w:jc w:val="both"/>
        <w:rPr>
          <w:rFonts w:asciiTheme="minorHAnsi" w:hAnsiTheme="minorHAnsi" w:cstheme="minorHAnsi"/>
        </w:rPr>
      </w:pPr>
      <w:r w:rsidRPr="00EE361A">
        <w:rPr>
          <w:rFonts w:asciiTheme="minorHAnsi" w:hAnsiTheme="minorHAnsi" w:cstheme="minorHAnsi"/>
        </w:rPr>
        <w:t>D</w:t>
      </w:r>
      <w:r w:rsidR="009247F0" w:rsidRPr="00EE361A">
        <w:rPr>
          <w:rFonts w:asciiTheme="minorHAnsi" w:hAnsiTheme="minorHAnsi" w:cstheme="minorHAnsi"/>
        </w:rPr>
        <w:t>raw</w:t>
      </w:r>
      <w:r w:rsidRPr="00EE361A">
        <w:rPr>
          <w:rFonts w:asciiTheme="minorHAnsi" w:hAnsiTheme="minorHAnsi" w:cstheme="minorHAnsi"/>
        </w:rPr>
        <w:t>ing</w:t>
      </w:r>
      <w:r w:rsidR="009247F0" w:rsidRPr="00EE361A">
        <w:rPr>
          <w:rFonts w:asciiTheme="minorHAnsi" w:hAnsiTheme="minorHAnsi" w:cstheme="minorHAnsi"/>
        </w:rPr>
        <w:t xml:space="preserve"> on data from the</w:t>
      </w:r>
      <w:r w:rsidR="006A5EEF" w:rsidRPr="00EE361A">
        <w:rPr>
          <w:rFonts w:asciiTheme="minorHAnsi" w:hAnsiTheme="minorHAnsi" w:cstheme="minorHAnsi"/>
        </w:rPr>
        <w:t xml:space="preserve"> </w:t>
      </w:r>
      <w:r w:rsidR="009247F0" w:rsidRPr="00EE361A">
        <w:rPr>
          <w:rFonts w:asciiTheme="minorHAnsi" w:hAnsiTheme="minorHAnsi" w:cstheme="minorHAnsi"/>
        </w:rPr>
        <w:t>POCO-COVID research project</w:t>
      </w:r>
      <w:r w:rsidRPr="00EE361A">
        <w:rPr>
          <w:rFonts w:asciiTheme="minorHAnsi" w:hAnsiTheme="minorHAnsi" w:cstheme="minorHAnsi"/>
        </w:rPr>
        <w:t xml:space="preserve"> the article </w:t>
      </w:r>
      <w:r w:rsidR="009247F0" w:rsidRPr="00EE361A">
        <w:rPr>
          <w:rFonts w:asciiTheme="minorHAnsi" w:hAnsiTheme="minorHAnsi" w:cstheme="minorHAnsi"/>
        </w:rPr>
        <w:t>employs a</w:t>
      </w:r>
      <w:r w:rsidRPr="00EE361A">
        <w:rPr>
          <w:rFonts w:asciiTheme="minorHAnsi" w:hAnsiTheme="minorHAnsi" w:cstheme="minorHAnsi"/>
        </w:rPr>
        <w:t xml:space="preserve"> </w:t>
      </w:r>
      <w:r w:rsidR="009247F0" w:rsidRPr="00EE361A">
        <w:rPr>
          <w:rFonts w:asciiTheme="minorHAnsi" w:hAnsiTheme="minorHAnsi" w:cstheme="minorHAnsi"/>
        </w:rPr>
        <w:t xml:space="preserve">mixed-methods sequential explanatory design combining quantitative content analysis of online news media </w:t>
      </w:r>
      <w:r w:rsidR="00016824" w:rsidRPr="00EE361A">
        <w:rPr>
          <w:rFonts w:asciiTheme="minorHAnsi" w:hAnsiTheme="minorHAnsi" w:cstheme="minorHAnsi"/>
        </w:rPr>
        <w:t>and</w:t>
      </w:r>
      <w:r w:rsidR="009247F0" w:rsidRPr="00EE361A">
        <w:rPr>
          <w:rFonts w:asciiTheme="minorHAnsi" w:hAnsiTheme="minorHAnsi" w:cstheme="minorHAnsi"/>
        </w:rPr>
        <w:t xml:space="preserve"> Facebook comments, </w:t>
      </w:r>
      <w:r w:rsidR="00BF794C" w:rsidRPr="00EE361A">
        <w:rPr>
          <w:rFonts w:asciiTheme="minorHAnsi" w:hAnsiTheme="minorHAnsi" w:cstheme="minorHAnsi"/>
        </w:rPr>
        <w:t xml:space="preserve">with a </w:t>
      </w:r>
      <w:r w:rsidR="00016824" w:rsidRPr="00EE361A">
        <w:rPr>
          <w:rFonts w:asciiTheme="minorHAnsi" w:hAnsiTheme="minorHAnsi" w:cstheme="minorHAnsi"/>
        </w:rPr>
        <w:t xml:space="preserve">qualitative analysis </w:t>
      </w:r>
      <w:r w:rsidR="00BF794C" w:rsidRPr="00EE361A">
        <w:rPr>
          <w:rFonts w:asciiTheme="minorHAnsi" w:hAnsiTheme="minorHAnsi" w:cstheme="minorHAnsi"/>
        </w:rPr>
        <w:t xml:space="preserve">of </w:t>
      </w:r>
      <w:r w:rsidR="009247F0" w:rsidRPr="00EE361A">
        <w:rPr>
          <w:rFonts w:asciiTheme="minorHAnsi" w:hAnsiTheme="minorHAnsi" w:cstheme="minorHAnsi"/>
        </w:rPr>
        <w:t xml:space="preserve">semi-structured interviews with key actors. </w:t>
      </w:r>
      <w:r w:rsidR="00E226E0" w:rsidRPr="00EE361A">
        <w:rPr>
          <w:rFonts w:asciiTheme="minorHAnsi" w:hAnsiTheme="minorHAnsi" w:cstheme="minorHAnsi"/>
        </w:rPr>
        <w:t>The research design integrates a</w:t>
      </w:r>
      <w:r w:rsidR="006A5EEF" w:rsidRPr="00EE361A">
        <w:rPr>
          <w:rFonts w:asciiTheme="minorHAnsi" w:hAnsiTheme="minorHAnsi" w:cstheme="minorHAnsi"/>
        </w:rPr>
        <w:t xml:space="preserve"> t</w:t>
      </w:r>
      <w:r w:rsidR="00E226E0" w:rsidRPr="00EE361A">
        <w:rPr>
          <w:rFonts w:asciiTheme="minorHAnsi" w:hAnsiTheme="minorHAnsi" w:cstheme="minorHAnsi"/>
        </w:rPr>
        <w:t>op-down</w:t>
      </w:r>
      <w:r w:rsidR="006A5EEF" w:rsidRPr="00EE361A">
        <w:rPr>
          <w:rFonts w:asciiTheme="minorHAnsi" w:hAnsiTheme="minorHAnsi" w:cstheme="minorHAnsi"/>
        </w:rPr>
        <w:t xml:space="preserve"> </w:t>
      </w:r>
      <w:r w:rsidR="00E226E0" w:rsidRPr="00EE361A">
        <w:rPr>
          <w:rFonts w:asciiTheme="minorHAnsi" w:hAnsiTheme="minorHAnsi" w:cstheme="minorHAnsi"/>
        </w:rPr>
        <w:t>dimension examining how governmental, political, and scientific actors framed the pandemic in online news coverage and a</w:t>
      </w:r>
      <w:r w:rsidR="006A5EEF" w:rsidRPr="00EE361A">
        <w:rPr>
          <w:rFonts w:asciiTheme="minorHAnsi" w:hAnsiTheme="minorHAnsi" w:cstheme="minorHAnsi"/>
        </w:rPr>
        <w:t xml:space="preserve"> </w:t>
      </w:r>
      <w:r w:rsidR="00E226E0" w:rsidRPr="00EE361A">
        <w:rPr>
          <w:rFonts w:asciiTheme="minorHAnsi" w:hAnsiTheme="minorHAnsi" w:cstheme="minorHAnsi"/>
        </w:rPr>
        <w:t>bottom-up</w:t>
      </w:r>
      <w:r w:rsidR="006A5EEF" w:rsidRPr="00EE361A">
        <w:rPr>
          <w:rFonts w:asciiTheme="minorHAnsi" w:hAnsiTheme="minorHAnsi" w:cstheme="minorHAnsi"/>
        </w:rPr>
        <w:t xml:space="preserve"> </w:t>
      </w:r>
      <w:r w:rsidR="00E226E0" w:rsidRPr="00EE361A">
        <w:rPr>
          <w:rFonts w:asciiTheme="minorHAnsi" w:hAnsiTheme="minorHAnsi" w:cstheme="minorHAnsi"/>
        </w:rPr>
        <w:t>dimension analysing how citizens articulated support, critique, or resistance through social-media commentary; and a</w:t>
      </w:r>
      <w:r w:rsidR="006B7964" w:rsidRPr="00EE361A">
        <w:rPr>
          <w:rFonts w:asciiTheme="minorHAnsi" w:hAnsiTheme="minorHAnsi" w:cstheme="minorHAnsi"/>
        </w:rPr>
        <w:t xml:space="preserve">n </w:t>
      </w:r>
      <w:r w:rsidR="00E226E0" w:rsidRPr="00EE361A">
        <w:rPr>
          <w:rFonts w:asciiTheme="minorHAnsi" w:hAnsiTheme="minorHAnsi" w:cstheme="minorHAnsi"/>
        </w:rPr>
        <w:t xml:space="preserve">intermediary dimension capturing how journalists, scientists, and policymakers reflect upon their communicative roles. </w:t>
      </w:r>
      <w:r w:rsidR="009247F0" w:rsidRPr="00EE361A">
        <w:rPr>
          <w:rFonts w:asciiTheme="minorHAnsi" w:hAnsiTheme="minorHAnsi" w:cstheme="minorHAnsi"/>
        </w:rPr>
        <w:t xml:space="preserve">The quantitative </w:t>
      </w:r>
      <w:r w:rsidR="00E226E0" w:rsidRPr="00EE361A">
        <w:rPr>
          <w:rFonts w:asciiTheme="minorHAnsi" w:hAnsiTheme="minorHAnsi" w:cstheme="minorHAnsi"/>
        </w:rPr>
        <w:t xml:space="preserve">analysis </w:t>
      </w:r>
      <w:r w:rsidR="009247F0" w:rsidRPr="00EE361A">
        <w:rPr>
          <w:rFonts w:asciiTheme="minorHAnsi" w:hAnsiTheme="minorHAnsi" w:cstheme="minorHAnsi"/>
        </w:rPr>
        <w:t>provides a</w:t>
      </w:r>
      <w:r w:rsidR="006B7964" w:rsidRPr="00EE361A">
        <w:rPr>
          <w:rFonts w:asciiTheme="minorHAnsi" w:hAnsiTheme="minorHAnsi" w:cstheme="minorHAnsi"/>
        </w:rPr>
        <w:t>n</w:t>
      </w:r>
      <w:r w:rsidR="009247F0" w:rsidRPr="00EE361A">
        <w:rPr>
          <w:rFonts w:asciiTheme="minorHAnsi" w:hAnsiTheme="minorHAnsi" w:cstheme="minorHAnsi"/>
        </w:rPr>
        <w:t xml:space="preserve"> overview of discursive patterns, while the subsequent qualitative </w:t>
      </w:r>
      <w:r w:rsidR="00E226E0" w:rsidRPr="00EE361A">
        <w:rPr>
          <w:rFonts w:asciiTheme="minorHAnsi" w:hAnsiTheme="minorHAnsi" w:cstheme="minorHAnsi"/>
        </w:rPr>
        <w:t xml:space="preserve">analysis </w:t>
      </w:r>
      <w:r w:rsidR="009247F0" w:rsidRPr="00EE361A">
        <w:rPr>
          <w:rFonts w:asciiTheme="minorHAnsi" w:hAnsiTheme="minorHAnsi" w:cstheme="minorHAnsi"/>
        </w:rPr>
        <w:t xml:space="preserve">offers deeper contextual insight into the meanings and mechanisms underlying those patterns (Ivankova et al., 2006). </w:t>
      </w:r>
    </w:p>
    <w:p w14:paraId="2D714D15" w14:textId="77777777" w:rsidR="009247F0" w:rsidRPr="00EE361A" w:rsidRDefault="009247F0" w:rsidP="009247F0">
      <w:pPr>
        <w:jc w:val="both"/>
        <w:rPr>
          <w:rFonts w:asciiTheme="minorHAnsi" w:hAnsiTheme="minorHAnsi" w:cstheme="minorHAnsi"/>
        </w:rPr>
      </w:pPr>
    </w:p>
    <w:p w14:paraId="7BA05E1B" w14:textId="66AD3F6F" w:rsidR="009247F0" w:rsidRPr="00EE361A" w:rsidRDefault="009247F0" w:rsidP="009247F0">
      <w:pPr>
        <w:jc w:val="both"/>
        <w:rPr>
          <w:rFonts w:asciiTheme="minorHAnsi" w:hAnsiTheme="minorHAnsi" w:cstheme="minorHAnsi"/>
        </w:rPr>
      </w:pPr>
      <w:r w:rsidRPr="00EE361A">
        <w:rPr>
          <w:rFonts w:asciiTheme="minorHAnsi" w:hAnsiTheme="minorHAnsi" w:cstheme="minorHAnsi"/>
        </w:rPr>
        <w:lastRenderedPageBreak/>
        <w:t xml:space="preserve">The quantitative component relies on political claims analysis, which systematically quantifies how actors frame and articulate positions in the public sphere (Koopmans &amp; Statham 1999; Cinalli et al. 2021). Originally designed to code grievances or demands, it is here adapted to </w:t>
      </w:r>
      <w:r w:rsidR="006B7964" w:rsidRPr="00EE361A">
        <w:rPr>
          <w:rFonts w:asciiTheme="minorHAnsi" w:hAnsiTheme="minorHAnsi" w:cstheme="minorHAnsi"/>
        </w:rPr>
        <w:t>the pandemic context</w:t>
      </w:r>
      <w:r w:rsidRPr="00EE361A">
        <w:rPr>
          <w:rFonts w:asciiTheme="minorHAnsi" w:hAnsiTheme="minorHAnsi" w:cstheme="minorHAnsi"/>
        </w:rPr>
        <w:t xml:space="preserve">, covering the salience of actors as claimants, the issues they raise, and the ways they address others. The same analytical logic was applied to the Facebook dataset, where individual user comments were treated as claims and coded accordingly (Trenz et al. 2020). </w:t>
      </w:r>
    </w:p>
    <w:p w14:paraId="0D73B000" w14:textId="5D8F2AD9"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To identify the online media outlets analysed in the study, an index of relevance and diversity was constructed using five criteria: (a) </w:t>
      </w:r>
      <w:r w:rsidRPr="00EE361A">
        <w:rPr>
          <w:rFonts w:asciiTheme="minorHAnsi" w:hAnsiTheme="minorHAnsi" w:cstheme="minorHAnsi"/>
          <w:b/>
          <w:bCs/>
        </w:rPr>
        <w:t xml:space="preserve">website traffic </w:t>
      </w:r>
      <w:r w:rsidRPr="00EE361A">
        <w:rPr>
          <w:rFonts w:asciiTheme="minorHAnsi" w:hAnsiTheme="minorHAnsi" w:cstheme="minorHAnsi"/>
        </w:rPr>
        <w:t xml:space="preserve">for 2020–2022, based on data from Alexa Traffic Rank Checker (ALEXA 2.0) and SimilarWeb; (b) the </w:t>
      </w:r>
      <w:r w:rsidRPr="00EE361A">
        <w:rPr>
          <w:rFonts w:asciiTheme="minorHAnsi" w:hAnsiTheme="minorHAnsi" w:cstheme="minorHAnsi"/>
          <w:b/>
          <w:bCs/>
        </w:rPr>
        <w:t xml:space="preserve">number of likes and followers </w:t>
      </w:r>
      <w:r w:rsidRPr="00EE361A">
        <w:rPr>
          <w:rFonts w:asciiTheme="minorHAnsi" w:hAnsiTheme="minorHAnsi" w:cstheme="minorHAnsi"/>
        </w:rPr>
        <w:t xml:space="preserve">on each outlet’s Facebook page; (c) </w:t>
      </w:r>
      <w:r w:rsidRPr="00EE361A">
        <w:rPr>
          <w:rFonts w:asciiTheme="minorHAnsi" w:hAnsiTheme="minorHAnsi" w:cstheme="minorHAnsi"/>
          <w:b/>
          <w:bCs/>
        </w:rPr>
        <w:t>political orientation</w:t>
      </w:r>
      <w:r w:rsidRPr="00EE361A">
        <w:rPr>
          <w:rFonts w:asciiTheme="minorHAnsi" w:hAnsiTheme="minorHAnsi" w:cstheme="minorHAnsi"/>
        </w:rPr>
        <w:t xml:space="preserve">, to ensure ideological balance in the sample; (d) </w:t>
      </w:r>
      <w:r w:rsidRPr="00EE361A">
        <w:rPr>
          <w:rFonts w:asciiTheme="minorHAnsi" w:hAnsiTheme="minorHAnsi" w:cstheme="minorHAnsi"/>
          <w:b/>
          <w:bCs/>
        </w:rPr>
        <w:t>Twitter follow</w:t>
      </w:r>
      <w:r w:rsidR="006040F0" w:rsidRPr="00EE361A">
        <w:rPr>
          <w:rFonts w:asciiTheme="minorHAnsi" w:hAnsiTheme="minorHAnsi" w:cstheme="minorHAnsi"/>
          <w:b/>
          <w:bCs/>
        </w:rPr>
        <w:t xml:space="preserve">ers </w:t>
      </w:r>
      <w:r w:rsidR="006040F0" w:rsidRPr="00EE361A">
        <w:rPr>
          <w:rFonts w:asciiTheme="minorHAnsi" w:hAnsiTheme="minorHAnsi"/>
          <w:b/>
        </w:rPr>
        <w:t>counts</w:t>
      </w:r>
      <w:r w:rsidR="006040F0" w:rsidRPr="00EE361A">
        <w:rPr>
          <w:rFonts w:asciiTheme="minorHAnsi" w:hAnsiTheme="minorHAnsi"/>
        </w:rPr>
        <w:t xml:space="preserve"> to capture each outlet’s broader audience reach</w:t>
      </w:r>
      <w:r w:rsidR="006040F0" w:rsidRPr="00EE361A" w:rsidDel="006040F0">
        <w:rPr>
          <w:rFonts w:asciiTheme="minorHAnsi" w:hAnsiTheme="minorHAnsi" w:cstheme="minorHAnsi"/>
          <w:b/>
          <w:bCs/>
        </w:rPr>
        <w:t xml:space="preserve"> </w:t>
      </w:r>
      <w:r w:rsidRPr="00EE361A">
        <w:rPr>
          <w:rFonts w:asciiTheme="minorHAnsi" w:hAnsiTheme="minorHAnsi" w:cstheme="minorHAnsi"/>
        </w:rPr>
        <w:t xml:space="preserve">; and (e) </w:t>
      </w:r>
      <w:r w:rsidRPr="00EE361A">
        <w:rPr>
          <w:rFonts w:asciiTheme="minorHAnsi" w:hAnsiTheme="minorHAnsi" w:cstheme="minorHAnsi"/>
          <w:b/>
          <w:bCs/>
        </w:rPr>
        <w:t>credibility and public trust rankings</w:t>
      </w:r>
      <w:r w:rsidRPr="00EE361A">
        <w:rPr>
          <w:rFonts w:asciiTheme="minorHAnsi" w:hAnsiTheme="minorHAnsi" w:cstheme="minorHAnsi"/>
        </w:rPr>
        <w:t xml:space="preserve"> provided by the Reuters Institute for the Study of Journalism (Kalogeropoulos, 2022). The goal was to include outlets that differed in political stance and audience reach, thereby capturing a representative spectrum of the Greek online media landscape and its social-media extensions.</w:t>
      </w:r>
    </w:p>
    <w:p w14:paraId="2A33BA55" w14:textId="77777777" w:rsidR="009247F0" w:rsidRPr="00EE361A" w:rsidRDefault="009247F0" w:rsidP="009247F0">
      <w:pPr>
        <w:jc w:val="both"/>
        <w:rPr>
          <w:rFonts w:asciiTheme="minorHAnsi" w:hAnsiTheme="minorHAnsi" w:cstheme="minorHAnsi"/>
        </w:rPr>
      </w:pPr>
    </w:p>
    <w:p w14:paraId="1D80098D" w14:textId="77777777"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On the basis of this index, four outlets were selected: </w:t>
      </w:r>
    </w:p>
    <w:p w14:paraId="53FB2250" w14:textId="77777777" w:rsidR="009247F0" w:rsidRPr="00EE361A" w:rsidRDefault="009247F0" w:rsidP="009247F0">
      <w:pPr>
        <w:numPr>
          <w:ilvl w:val="0"/>
          <w:numId w:val="2"/>
        </w:numPr>
        <w:jc w:val="both"/>
        <w:rPr>
          <w:rFonts w:asciiTheme="minorHAnsi" w:hAnsiTheme="minorHAnsi" w:cstheme="minorHAnsi"/>
        </w:rPr>
      </w:pPr>
      <w:r w:rsidRPr="00EE361A">
        <w:rPr>
          <w:rFonts w:asciiTheme="minorHAnsi" w:hAnsiTheme="minorHAnsi" w:cstheme="minorHAnsi"/>
          <w:b/>
          <w:bCs/>
        </w:rPr>
        <w:t>Kathimerini.gr</w:t>
      </w:r>
      <w:r w:rsidRPr="00EE361A">
        <w:rPr>
          <w:rFonts w:asciiTheme="minorHAnsi" w:hAnsiTheme="minorHAnsi" w:cstheme="minorHAnsi"/>
        </w:rPr>
        <w:t>: A traditional centre-right quality newspaper, recognised by the Reuters Institute as one of the most trusted media sources in Greece (Newman et al., 2022).</w:t>
      </w:r>
    </w:p>
    <w:p w14:paraId="64604AD3" w14:textId="36BFF879" w:rsidR="009247F0" w:rsidRPr="00EE361A" w:rsidRDefault="009247F0" w:rsidP="009247F0">
      <w:pPr>
        <w:numPr>
          <w:ilvl w:val="0"/>
          <w:numId w:val="2"/>
        </w:numPr>
        <w:jc w:val="both"/>
        <w:rPr>
          <w:rFonts w:asciiTheme="minorHAnsi" w:hAnsiTheme="minorHAnsi" w:cstheme="minorHAnsi"/>
        </w:rPr>
      </w:pPr>
      <w:r w:rsidRPr="00EE361A">
        <w:rPr>
          <w:rFonts w:asciiTheme="minorHAnsi" w:hAnsiTheme="minorHAnsi" w:cstheme="minorHAnsi"/>
          <w:b/>
          <w:bCs/>
        </w:rPr>
        <w:t>ProtoThema.gr</w:t>
      </w:r>
      <w:r w:rsidRPr="00EE361A">
        <w:rPr>
          <w:rFonts w:asciiTheme="minorHAnsi" w:hAnsiTheme="minorHAnsi" w:cstheme="minorHAnsi"/>
        </w:rPr>
        <w:t xml:space="preserve">: A </w:t>
      </w:r>
      <w:r w:rsidR="00732C94" w:rsidRPr="00EE361A">
        <w:rPr>
          <w:rFonts w:asciiTheme="minorHAnsi" w:hAnsiTheme="minorHAnsi" w:cstheme="minorHAnsi"/>
        </w:rPr>
        <w:t>tabloid</w:t>
      </w:r>
      <w:r w:rsidRPr="00EE361A">
        <w:rPr>
          <w:rFonts w:asciiTheme="minorHAnsi" w:hAnsiTheme="minorHAnsi" w:cstheme="minorHAnsi"/>
        </w:rPr>
        <w:t>-populist</w:t>
      </w:r>
      <w:r w:rsidR="000F38D2" w:rsidRPr="00EE361A">
        <w:rPr>
          <w:rStyle w:val="Rimandonotaapidipagina"/>
          <w:rFonts w:asciiTheme="minorHAnsi" w:hAnsiTheme="minorHAnsi" w:cstheme="minorHAnsi"/>
        </w:rPr>
        <w:footnoteReference w:id="2"/>
      </w:r>
      <w:r w:rsidRPr="00EE361A">
        <w:rPr>
          <w:rFonts w:asciiTheme="minorHAnsi" w:hAnsiTheme="minorHAnsi" w:cstheme="minorHAnsi"/>
        </w:rPr>
        <w:t>, pro-government weekly newspaper and news website, which had the highest traffic during the examined period and ranked second in social media followers and likes.</w:t>
      </w:r>
    </w:p>
    <w:p w14:paraId="5D2372D7" w14:textId="77777777" w:rsidR="009247F0" w:rsidRPr="00EE361A" w:rsidRDefault="009247F0" w:rsidP="009247F0">
      <w:pPr>
        <w:numPr>
          <w:ilvl w:val="0"/>
          <w:numId w:val="2"/>
        </w:numPr>
        <w:jc w:val="both"/>
        <w:rPr>
          <w:rFonts w:asciiTheme="minorHAnsi" w:hAnsiTheme="minorHAnsi" w:cstheme="minorHAnsi"/>
        </w:rPr>
      </w:pPr>
      <w:r w:rsidRPr="00EE361A">
        <w:rPr>
          <w:rFonts w:asciiTheme="minorHAnsi" w:hAnsiTheme="minorHAnsi" w:cstheme="minorHAnsi"/>
          <w:b/>
          <w:bCs/>
        </w:rPr>
        <w:t>News247.gr</w:t>
      </w:r>
      <w:r w:rsidRPr="00EE361A">
        <w:rPr>
          <w:rFonts w:asciiTheme="minorHAnsi" w:hAnsiTheme="minorHAnsi" w:cstheme="minorHAnsi"/>
        </w:rPr>
        <w:t>: A centre-left news website that often criticised the government on key issues. It ranked sixth in website traffic and fourth in social media followers.</w:t>
      </w:r>
    </w:p>
    <w:p w14:paraId="33F99B6A" w14:textId="77777777" w:rsidR="009247F0" w:rsidRPr="00EE361A" w:rsidRDefault="009247F0" w:rsidP="009247F0">
      <w:pPr>
        <w:numPr>
          <w:ilvl w:val="0"/>
          <w:numId w:val="2"/>
        </w:numPr>
        <w:jc w:val="both"/>
        <w:rPr>
          <w:rFonts w:asciiTheme="minorHAnsi" w:hAnsiTheme="minorHAnsi" w:cstheme="minorHAnsi"/>
        </w:rPr>
      </w:pPr>
      <w:r w:rsidRPr="00EE361A">
        <w:rPr>
          <w:rFonts w:asciiTheme="minorHAnsi" w:hAnsiTheme="minorHAnsi" w:cstheme="minorHAnsi"/>
          <w:b/>
          <w:bCs/>
        </w:rPr>
        <w:t>Newsbomb.gr</w:t>
      </w:r>
      <w:r w:rsidRPr="00EE361A">
        <w:rPr>
          <w:rFonts w:asciiTheme="minorHAnsi" w:hAnsiTheme="minorHAnsi" w:cstheme="minorHAnsi"/>
        </w:rPr>
        <w:t>: A website with no clear ideological standpoint but known for its populist tone. It ranked fifth in website traffic but first in social media followers.</w:t>
      </w:r>
    </w:p>
    <w:p w14:paraId="09CC0E46" w14:textId="77777777" w:rsidR="009247F0" w:rsidRPr="00EE361A" w:rsidRDefault="009247F0" w:rsidP="009247F0">
      <w:pPr>
        <w:ind w:left="720"/>
        <w:jc w:val="both"/>
        <w:rPr>
          <w:rFonts w:asciiTheme="minorHAnsi" w:hAnsiTheme="minorHAnsi" w:cstheme="minorHAnsi"/>
        </w:rPr>
      </w:pPr>
    </w:p>
    <w:p w14:paraId="2C8B4C7D" w14:textId="77777777" w:rsidR="009247F0" w:rsidRPr="00EE361A" w:rsidRDefault="009247F0" w:rsidP="009247F0">
      <w:pPr>
        <w:jc w:val="both"/>
        <w:rPr>
          <w:rFonts w:asciiTheme="minorHAnsi" w:hAnsiTheme="minorHAnsi" w:cstheme="minorHAnsi"/>
        </w:rPr>
      </w:pPr>
    </w:p>
    <w:p w14:paraId="52F387EF" w14:textId="36F6BD43" w:rsidR="008E513E" w:rsidRPr="00EE361A" w:rsidRDefault="009247F0" w:rsidP="008E513E">
      <w:pPr>
        <w:jc w:val="both"/>
        <w:rPr>
          <w:rFonts w:asciiTheme="minorHAnsi" w:hAnsiTheme="minorHAnsi" w:cstheme="minorHAnsi"/>
        </w:rPr>
      </w:pPr>
      <w:r w:rsidRPr="00EE361A">
        <w:rPr>
          <w:rFonts w:asciiTheme="minorHAnsi" w:hAnsiTheme="minorHAnsi" w:cstheme="minorHAnsi"/>
        </w:rPr>
        <w:t>Articles for analysis were identified through a keyword search (“pandemic,” “COVID,” “corona”) in the archives of the four selected media outlets, producing approximately 150,000 items published between February 2020 and February 2022. To capture the evolution of public discourse across distinct moments of the pandemic, this population was divided into three periods</w:t>
      </w:r>
      <w:r w:rsidR="008E513E" w:rsidRPr="00EE361A">
        <w:rPr>
          <w:rStyle w:val="Rimandonotaapidipagina"/>
          <w:rFonts w:asciiTheme="minorHAnsi" w:hAnsiTheme="minorHAnsi" w:cstheme="minorHAnsi"/>
        </w:rPr>
        <w:footnoteReference w:id="3"/>
      </w:r>
      <w:r w:rsidR="008E513E" w:rsidRPr="00EE361A">
        <w:rPr>
          <w:rFonts w:asciiTheme="minorHAnsi" w:hAnsiTheme="minorHAnsi" w:cstheme="minorHAnsi"/>
        </w:rPr>
        <w:t>:</w:t>
      </w:r>
      <w:bookmarkStart w:id="0" w:name="_GoBack"/>
      <w:bookmarkEnd w:id="0"/>
    </w:p>
    <w:p w14:paraId="7702343E" w14:textId="0B2ADE94" w:rsidR="009247F0" w:rsidRPr="00EE361A" w:rsidRDefault="009247F0" w:rsidP="009247F0">
      <w:pPr>
        <w:jc w:val="both"/>
        <w:rPr>
          <w:rFonts w:asciiTheme="minorHAnsi" w:hAnsiTheme="minorHAnsi" w:cstheme="minorHAnsi"/>
        </w:rPr>
      </w:pPr>
    </w:p>
    <w:p w14:paraId="2A9B30C0" w14:textId="77777777" w:rsidR="009247F0" w:rsidRPr="00EE361A" w:rsidRDefault="009247F0" w:rsidP="009247F0">
      <w:pPr>
        <w:jc w:val="both"/>
        <w:rPr>
          <w:rFonts w:asciiTheme="minorHAnsi" w:hAnsiTheme="minorHAnsi" w:cstheme="minorHAnsi"/>
        </w:rPr>
      </w:pPr>
    </w:p>
    <w:p w14:paraId="1EAA03C1" w14:textId="5BC2E4F3" w:rsidR="009247F0" w:rsidRPr="00EE361A" w:rsidRDefault="009247F0" w:rsidP="009247F0">
      <w:pPr>
        <w:numPr>
          <w:ilvl w:val="0"/>
          <w:numId w:val="4"/>
        </w:numPr>
        <w:jc w:val="both"/>
        <w:rPr>
          <w:rFonts w:asciiTheme="minorHAnsi" w:hAnsiTheme="minorHAnsi" w:cstheme="minorHAnsi"/>
        </w:rPr>
      </w:pPr>
      <w:r w:rsidRPr="00EE361A">
        <w:rPr>
          <w:rFonts w:asciiTheme="minorHAnsi" w:hAnsiTheme="minorHAnsi" w:cstheme="minorHAnsi"/>
          <w:b/>
          <w:bCs/>
        </w:rPr>
        <w:t>Period 1 (February–May 2020):</w:t>
      </w:r>
      <w:r w:rsidR="00420397" w:rsidRPr="00EE361A">
        <w:rPr>
          <w:rFonts w:asciiTheme="minorHAnsi" w:hAnsiTheme="minorHAnsi" w:cstheme="minorHAnsi"/>
        </w:rPr>
        <w:t xml:space="preserve"> </w:t>
      </w:r>
      <w:r w:rsidRPr="00EE361A">
        <w:rPr>
          <w:rFonts w:asciiTheme="minorHAnsi" w:hAnsiTheme="minorHAnsi" w:cstheme="minorHAnsi"/>
        </w:rPr>
        <w:t>representing the initial lockdown and early consensus.</w:t>
      </w:r>
    </w:p>
    <w:p w14:paraId="7B5EB9F5" w14:textId="55204DCC" w:rsidR="009247F0" w:rsidRPr="00EE361A" w:rsidRDefault="009247F0" w:rsidP="009247F0">
      <w:pPr>
        <w:numPr>
          <w:ilvl w:val="0"/>
          <w:numId w:val="4"/>
        </w:numPr>
        <w:jc w:val="both"/>
        <w:rPr>
          <w:rFonts w:asciiTheme="minorHAnsi" w:hAnsiTheme="minorHAnsi" w:cstheme="minorHAnsi"/>
        </w:rPr>
      </w:pPr>
      <w:r w:rsidRPr="00EE361A">
        <w:rPr>
          <w:rFonts w:asciiTheme="minorHAnsi" w:hAnsiTheme="minorHAnsi" w:cstheme="minorHAnsi"/>
          <w:b/>
          <w:bCs/>
        </w:rPr>
        <w:t>Period 2 (October 2020–May 2021):</w:t>
      </w:r>
      <w:r w:rsidR="00420397" w:rsidRPr="00EE361A">
        <w:rPr>
          <w:rFonts w:asciiTheme="minorHAnsi" w:hAnsiTheme="minorHAnsi" w:cstheme="minorHAnsi"/>
        </w:rPr>
        <w:t xml:space="preserve"> </w:t>
      </w:r>
      <w:r w:rsidRPr="00EE361A">
        <w:rPr>
          <w:rFonts w:asciiTheme="minorHAnsi" w:hAnsiTheme="minorHAnsi" w:cstheme="minorHAnsi"/>
        </w:rPr>
        <w:t>covering renewed restrictions and growing contestation.</w:t>
      </w:r>
    </w:p>
    <w:p w14:paraId="7C10EAB4" w14:textId="6DC6EC2F" w:rsidR="009247F0" w:rsidRPr="00EE361A" w:rsidRDefault="009247F0" w:rsidP="009247F0">
      <w:pPr>
        <w:numPr>
          <w:ilvl w:val="0"/>
          <w:numId w:val="4"/>
        </w:numPr>
        <w:jc w:val="both"/>
        <w:rPr>
          <w:rFonts w:asciiTheme="minorHAnsi" w:hAnsiTheme="minorHAnsi" w:cstheme="minorHAnsi"/>
        </w:rPr>
      </w:pPr>
      <w:r w:rsidRPr="00EE361A">
        <w:rPr>
          <w:rFonts w:asciiTheme="minorHAnsi" w:hAnsiTheme="minorHAnsi" w:cstheme="minorHAnsi"/>
          <w:b/>
          <w:bCs/>
        </w:rPr>
        <w:lastRenderedPageBreak/>
        <w:t>Period 3 (</w:t>
      </w:r>
      <w:r w:rsidR="00D22C2B" w:rsidRPr="00EE361A">
        <w:rPr>
          <w:rFonts w:asciiTheme="minorHAnsi" w:hAnsiTheme="minorHAnsi" w:cstheme="minorHAnsi"/>
          <w:b/>
          <w:bCs/>
        </w:rPr>
        <w:t xml:space="preserve">October </w:t>
      </w:r>
      <w:r w:rsidRPr="00EE361A">
        <w:rPr>
          <w:rFonts w:asciiTheme="minorHAnsi" w:hAnsiTheme="minorHAnsi" w:cstheme="minorHAnsi"/>
          <w:b/>
          <w:bCs/>
        </w:rPr>
        <w:t>2021–</w:t>
      </w:r>
      <w:r w:rsidR="001348B4" w:rsidRPr="00EE361A">
        <w:rPr>
          <w:rFonts w:asciiTheme="minorHAnsi" w:hAnsiTheme="minorHAnsi" w:cstheme="minorHAnsi"/>
          <w:b/>
          <w:bCs/>
        </w:rPr>
        <w:t xml:space="preserve">December </w:t>
      </w:r>
      <w:r w:rsidRPr="00EE361A">
        <w:rPr>
          <w:rFonts w:asciiTheme="minorHAnsi" w:hAnsiTheme="minorHAnsi" w:cstheme="minorHAnsi"/>
          <w:b/>
          <w:bCs/>
        </w:rPr>
        <w:t>2022):</w:t>
      </w:r>
      <w:r w:rsidR="00420397" w:rsidRPr="00EE361A">
        <w:rPr>
          <w:rFonts w:asciiTheme="minorHAnsi" w:hAnsiTheme="minorHAnsi" w:cstheme="minorHAnsi"/>
        </w:rPr>
        <w:t xml:space="preserve"> </w:t>
      </w:r>
      <w:r w:rsidRPr="00EE361A">
        <w:rPr>
          <w:rFonts w:asciiTheme="minorHAnsi" w:hAnsiTheme="minorHAnsi" w:cstheme="minorHAnsi"/>
        </w:rPr>
        <w:t>reflecting the vaccination rollout and increasing polarisation.</w:t>
      </w:r>
    </w:p>
    <w:p w14:paraId="30090197" w14:textId="77777777" w:rsidR="009247F0" w:rsidRPr="00EE361A" w:rsidRDefault="009247F0" w:rsidP="009247F0">
      <w:pPr>
        <w:ind w:left="720"/>
        <w:jc w:val="both"/>
        <w:rPr>
          <w:rFonts w:asciiTheme="minorHAnsi" w:hAnsiTheme="minorHAnsi" w:cstheme="minorHAnsi"/>
        </w:rPr>
      </w:pPr>
    </w:p>
    <w:p w14:paraId="2EF179B8" w14:textId="77777777" w:rsidR="007E1F47" w:rsidRPr="00EE361A" w:rsidRDefault="007E1F47" w:rsidP="007E1F47">
      <w:pPr>
        <w:jc w:val="both"/>
        <w:rPr>
          <w:rFonts w:asciiTheme="minorHAnsi" w:hAnsiTheme="minorHAnsi" w:cstheme="minorHAnsi"/>
        </w:rPr>
      </w:pPr>
    </w:p>
    <w:p w14:paraId="3F505FAE" w14:textId="34E09DDD"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Given the manual nature of coding, 1,600 articles </w:t>
      </w:r>
      <w:r w:rsidR="00D556FB" w:rsidRPr="00EE361A">
        <w:rPr>
          <w:rFonts w:asciiTheme="minorHAnsi" w:hAnsiTheme="minorHAnsi" w:cstheme="minorHAnsi"/>
        </w:rPr>
        <w:t>was</w:t>
      </w:r>
      <w:r w:rsidR="00134BE6" w:rsidRPr="00EE361A">
        <w:rPr>
          <w:rFonts w:asciiTheme="minorHAnsi" w:hAnsiTheme="minorHAnsi" w:cstheme="minorHAnsi"/>
        </w:rPr>
        <w:t xml:space="preserve"> considered</w:t>
      </w:r>
      <w:r w:rsidRPr="00EE361A">
        <w:rPr>
          <w:rFonts w:asciiTheme="minorHAnsi" w:hAnsiTheme="minorHAnsi" w:cstheme="minorHAnsi"/>
        </w:rPr>
        <w:t xml:space="preserve"> a feasible and analytically robust sample.</w:t>
      </w:r>
      <w:r w:rsidR="00134BE6" w:rsidRPr="00EE361A">
        <w:rPr>
          <w:rStyle w:val="Rimandonotaapidipagina"/>
          <w:rFonts w:asciiTheme="minorHAnsi" w:hAnsiTheme="minorHAnsi" w:cstheme="minorHAnsi"/>
        </w:rPr>
        <w:footnoteReference w:id="4"/>
      </w:r>
      <w:r w:rsidRPr="00EE361A">
        <w:rPr>
          <w:rFonts w:asciiTheme="minorHAnsi" w:hAnsiTheme="minorHAnsi" w:cstheme="minorHAnsi"/>
        </w:rPr>
        <w:t xml:space="preserve"> To reach this goal, 4,317 articles were randomly selected across outlets, equally distributed </w:t>
      </w:r>
      <w:r w:rsidR="00B53ABE" w:rsidRPr="00EE361A">
        <w:rPr>
          <w:rFonts w:asciiTheme="minorHAnsi" w:hAnsiTheme="minorHAnsi" w:cstheme="minorHAnsi"/>
        </w:rPr>
        <w:t>across</w:t>
      </w:r>
      <w:r w:rsidRPr="00EE361A">
        <w:rPr>
          <w:rFonts w:asciiTheme="minorHAnsi" w:hAnsiTheme="minorHAnsi" w:cstheme="minorHAnsi"/>
        </w:rPr>
        <w:t xml:space="preserve"> online media</w:t>
      </w:r>
      <w:r w:rsidR="007379A4" w:rsidRPr="00EE361A">
        <w:rPr>
          <w:rFonts w:asciiTheme="minorHAnsi" w:hAnsiTheme="minorHAnsi" w:cstheme="minorHAnsi"/>
        </w:rPr>
        <w:t xml:space="preserve"> outlets</w:t>
      </w:r>
      <w:r w:rsidRPr="00EE361A">
        <w:rPr>
          <w:rFonts w:asciiTheme="minorHAnsi" w:hAnsiTheme="minorHAnsi" w:cstheme="minorHAnsi"/>
        </w:rPr>
        <w:t xml:space="preserve">. Coders then screened this random pool for the presence of at least one political claim related with pandemic management. Articles that did not contain a political claim were skipped, and coders proceeded to the next randomly selected item. Through this process, 1,600 articles were identified and fully coded, representing approximately 37 per cent of the initially selected pool. Sampling quotas were distributed across periods according to their share </w:t>
      </w:r>
      <w:r w:rsidR="00B53ABE" w:rsidRPr="00EE361A">
        <w:rPr>
          <w:rFonts w:asciiTheme="minorHAnsi" w:hAnsiTheme="minorHAnsi" w:cstheme="minorHAnsi"/>
        </w:rPr>
        <w:t xml:space="preserve">of </w:t>
      </w:r>
      <w:r w:rsidRPr="00EE361A">
        <w:rPr>
          <w:rFonts w:asciiTheme="minorHAnsi" w:hAnsiTheme="minorHAnsi" w:cstheme="minorHAnsi"/>
        </w:rPr>
        <w:t>the total volume of pandemic-related articles: 19 per cent for Period 1 (300 articles), 50 per cent for Period 2 (800 articles), and 31 per cent for Period 3 (500 articles).</w:t>
      </w:r>
    </w:p>
    <w:p w14:paraId="09737B85" w14:textId="77777777" w:rsidR="009247F0" w:rsidRPr="00EE361A" w:rsidRDefault="009247F0" w:rsidP="009247F0">
      <w:pPr>
        <w:ind w:left="720"/>
        <w:jc w:val="both"/>
        <w:rPr>
          <w:rFonts w:asciiTheme="minorHAnsi" w:hAnsiTheme="minorHAnsi" w:cstheme="minorHAnsi"/>
        </w:rPr>
      </w:pPr>
    </w:p>
    <w:p w14:paraId="2E56409C" w14:textId="335BD189"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The coding procedure defines political claims as strategic interventions related to the health crisis, either verbal or non-verbal, made in the public space by a specific actor on behalf of </w:t>
      </w:r>
      <w:r w:rsidR="00D278F9" w:rsidRPr="00EE361A">
        <w:rPr>
          <w:rFonts w:asciiTheme="minorHAnsi" w:hAnsiTheme="minorHAnsi" w:cstheme="minorHAnsi"/>
        </w:rPr>
        <w:t>others</w:t>
      </w:r>
      <w:r w:rsidRPr="00EE361A">
        <w:rPr>
          <w:rFonts w:asciiTheme="minorHAnsi" w:hAnsiTheme="minorHAnsi" w:cstheme="minorHAnsi"/>
        </w:rPr>
        <w:t xml:space="preserve">. In essence, a claim is a </w:t>
      </w:r>
      <w:r w:rsidR="009341F7" w:rsidRPr="00EE361A">
        <w:rPr>
          <w:rFonts w:asciiTheme="minorHAnsi" w:hAnsiTheme="minorHAnsi" w:cstheme="minorHAnsi"/>
        </w:rPr>
        <w:t xml:space="preserve">public </w:t>
      </w:r>
      <w:r w:rsidR="00B53ABE" w:rsidRPr="00EE361A">
        <w:rPr>
          <w:rFonts w:asciiTheme="minorHAnsi" w:eastAsiaTheme="minorHAnsi" w:hAnsiTheme="minorHAnsi" w:cstheme="minorHAnsi"/>
          <w:lang w:eastAsia="en-US"/>
        </w:rPr>
        <w:t>expression</w:t>
      </w:r>
      <w:r w:rsidR="006A5EEF" w:rsidRPr="00EE361A">
        <w:rPr>
          <w:rFonts w:asciiTheme="minorHAnsi" w:eastAsiaTheme="minorHAnsi" w:hAnsiTheme="minorHAnsi" w:cstheme="minorHAnsi"/>
          <w:lang w:eastAsia="en-US"/>
        </w:rPr>
        <w:t xml:space="preserve"> </w:t>
      </w:r>
      <w:r w:rsidRPr="00EE361A">
        <w:rPr>
          <w:rFonts w:asciiTheme="minorHAnsi" w:hAnsiTheme="minorHAnsi" w:cstheme="minorHAnsi"/>
        </w:rPr>
        <w:t>of support or opposition towards COVID-related policies. Claims can take four primary forms:</w:t>
      </w:r>
    </w:p>
    <w:p w14:paraId="3DF9695A" w14:textId="28FD672E" w:rsidR="009247F0" w:rsidRPr="00EE361A" w:rsidRDefault="009247F0" w:rsidP="009247F0">
      <w:pPr>
        <w:rPr>
          <w:rFonts w:asciiTheme="minorHAnsi" w:hAnsiTheme="minorHAnsi" w:cstheme="minorHAnsi"/>
        </w:rPr>
      </w:pPr>
      <w:r w:rsidRPr="00EE361A">
        <w:rPr>
          <w:rFonts w:asciiTheme="minorHAnsi" w:hAnsiTheme="minorHAnsi" w:cstheme="minorHAnsi"/>
        </w:rPr>
        <w:br/>
        <w:t>(a) </w:t>
      </w:r>
      <w:r w:rsidRPr="00EE361A">
        <w:rPr>
          <w:rFonts w:asciiTheme="minorHAnsi" w:hAnsiTheme="minorHAnsi" w:cstheme="minorHAnsi"/>
          <w:b/>
          <w:bCs/>
        </w:rPr>
        <w:t>Political decisions</w:t>
      </w:r>
      <w:r w:rsidRPr="00EE361A">
        <w:rPr>
          <w:rStyle w:val="Rimandonotaapidipagina"/>
          <w:rFonts w:asciiTheme="minorHAnsi" w:hAnsiTheme="minorHAnsi" w:cstheme="minorHAnsi"/>
          <w:b/>
          <w:bCs/>
        </w:rPr>
        <w:footnoteReference w:id="5"/>
      </w:r>
      <w:r w:rsidRPr="00EE361A">
        <w:rPr>
          <w:rFonts w:asciiTheme="minorHAnsi" w:hAnsiTheme="minorHAnsi" w:cstheme="minorHAnsi"/>
        </w:rPr>
        <w:t xml:space="preserve">– such as laws, governmental guidelines, or implementation measures. </w:t>
      </w:r>
      <w:r w:rsidRPr="00EE361A">
        <w:rPr>
          <w:rFonts w:asciiTheme="minorHAnsi" w:hAnsiTheme="minorHAnsi" w:cstheme="minorHAnsi"/>
        </w:rPr>
        <w:br/>
        <w:t>(b) </w:t>
      </w:r>
      <w:r w:rsidRPr="00EE361A">
        <w:rPr>
          <w:rFonts w:asciiTheme="minorHAnsi" w:hAnsiTheme="minorHAnsi" w:cstheme="minorHAnsi"/>
          <w:b/>
          <w:bCs/>
        </w:rPr>
        <w:t>Verbal statements</w:t>
      </w:r>
      <w:r w:rsidRPr="00EE361A">
        <w:rPr>
          <w:rFonts w:asciiTheme="minorHAnsi" w:hAnsiTheme="minorHAnsi" w:cstheme="minorHAnsi"/>
        </w:rPr>
        <w:t>– including public speeches, press conferences, or parliamentary interventions.</w:t>
      </w:r>
      <w:r w:rsidRPr="00EE361A">
        <w:rPr>
          <w:rFonts w:asciiTheme="minorHAnsi" w:hAnsiTheme="minorHAnsi" w:cstheme="minorHAnsi"/>
        </w:rPr>
        <w:br/>
        <w:t>(c) </w:t>
      </w:r>
      <w:r w:rsidRPr="00EE361A">
        <w:rPr>
          <w:rFonts w:asciiTheme="minorHAnsi" w:hAnsiTheme="minorHAnsi" w:cstheme="minorHAnsi"/>
          <w:b/>
          <w:bCs/>
        </w:rPr>
        <w:t>Protest actions</w:t>
      </w:r>
      <w:r w:rsidRPr="00EE361A">
        <w:rPr>
          <w:rFonts w:asciiTheme="minorHAnsi" w:hAnsiTheme="minorHAnsi" w:cstheme="minorHAnsi"/>
        </w:rPr>
        <w:t>– such as demonstrations, occupations, or violent actions.</w:t>
      </w:r>
      <w:r w:rsidRPr="00EE361A">
        <w:rPr>
          <w:rFonts w:asciiTheme="minorHAnsi" w:hAnsiTheme="minorHAnsi" w:cstheme="minorHAnsi"/>
        </w:rPr>
        <w:br/>
        <w:t>(d) </w:t>
      </w:r>
      <w:r w:rsidRPr="00EE361A">
        <w:rPr>
          <w:rFonts w:asciiTheme="minorHAnsi" w:hAnsiTheme="minorHAnsi" w:cstheme="minorHAnsi"/>
          <w:b/>
          <w:bCs/>
        </w:rPr>
        <w:t>Solidarity actions</w:t>
      </w:r>
      <w:r w:rsidRPr="00EE361A">
        <w:rPr>
          <w:rFonts w:asciiTheme="minorHAnsi" w:hAnsiTheme="minorHAnsi" w:cstheme="minorHAnsi"/>
        </w:rPr>
        <w:t>– direct acts of providing help or assistance to others in need of support (</w:t>
      </w:r>
      <w:r w:rsidRPr="00EE361A">
        <w:rPr>
          <w:rFonts w:asciiTheme="minorHAnsi" w:hAnsiTheme="minorHAnsi" w:cstheme="minorHAnsi"/>
          <w:i/>
          <w:iCs/>
        </w:rPr>
        <w:t>POCO-COVID Codebook 2022</w:t>
      </w:r>
      <w:r w:rsidR="007379A4" w:rsidRPr="00EE361A">
        <w:rPr>
          <w:rStyle w:val="Rimandonotaapidipagina"/>
          <w:rFonts w:asciiTheme="minorHAnsi" w:hAnsiTheme="minorHAnsi" w:cstheme="minorHAnsi"/>
          <w:i/>
          <w:iCs/>
        </w:rPr>
        <w:footnoteReference w:id="6"/>
      </w:r>
      <w:r w:rsidRPr="00EE361A">
        <w:rPr>
          <w:rFonts w:asciiTheme="minorHAnsi" w:hAnsiTheme="minorHAnsi" w:cstheme="minorHAnsi"/>
        </w:rPr>
        <w:t>).</w:t>
      </w:r>
    </w:p>
    <w:p w14:paraId="244B82E1" w14:textId="77777777" w:rsidR="009247F0" w:rsidRPr="00EE361A" w:rsidRDefault="009247F0" w:rsidP="009247F0">
      <w:pPr>
        <w:jc w:val="both"/>
        <w:rPr>
          <w:rFonts w:asciiTheme="minorHAnsi" w:hAnsiTheme="minorHAnsi" w:cstheme="minorHAnsi"/>
        </w:rPr>
      </w:pPr>
    </w:p>
    <w:p w14:paraId="7FE8BBC4" w14:textId="39E07A75" w:rsidR="009247F0" w:rsidRPr="00EE361A" w:rsidRDefault="009247F0" w:rsidP="009247F0">
      <w:pPr>
        <w:jc w:val="both"/>
        <w:rPr>
          <w:rFonts w:asciiTheme="minorHAnsi" w:hAnsiTheme="minorHAnsi" w:cstheme="minorHAnsi"/>
        </w:rPr>
      </w:pPr>
      <w:r w:rsidRPr="00EE361A">
        <w:rPr>
          <w:rFonts w:asciiTheme="minorHAnsi" w:hAnsiTheme="minorHAnsi" w:cstheme="minorHAnsi"/>
        </w:rPr>
        <w:t>Political claims consist of three</w:t>
      </w:r>
      <w:r w:rsidR="00755BD9" w:rsidRPr="00EE361A">
        <w:rPr>
          <w:rFonts w:asciiTheme="minorHAnsi" w:hAnsiTheme="minorHAnsi" w:cstheme="minorHAnsi"/>
        </w:rPr>
        <w:t xml:space="preserve"> </w:t>
      </w:r>
      <w:r w:rsidRPr="00EE361A">
        <w:rPr>
          <w:rFonts w:asciiTheme="minorHAnsi" w:hAnsiTheme="minorHAnsi" w:cstheme="minorHAnsi"/>
        </w:rPr>
        <w:t>core elements:</w:t>
      </w:r>
    </w:p>
    <w:p w14:paraId="1E7839BA" w14:textId="205097DB" w:rsidR="009247F0" w:rsidRPr="00EE361A" w:rsidRDefault="009247F0" w:rsidP="009247F0">
      <w:pPr>
        <w:numPr>
          <w:ilvl w:val="0"/>
          <w:numId w:val="1"/>
        </w:numPr>
        <w:jc w:val="both"/>
        <w:rPr>
          <w:rFonts w:asciiTheme="minorHAnsi" w:hAnsiTheme="minorHAnsi" w:cstheme="minorHAnsi"/>
        </w:rPr>
      </w:pPr>
      <w:r w:rsidRPr="00EE361A">
        <w:rPr>
          <w:rFonts w:asciiTheme="minorHAnsi" w:hAnsiTheme="minorHAnsi" w:cstheme="minorHAnsi"/>
          <w:b/>
          <w:bCs/>
        </w:rPr>
        <w:t>Sender</w:t>
      </w:r>
      <w:r w:rsidRPr="00EE361A">
        <w:rPr>
          <w:rFonts w:asciiTheme="minorHAnsi" w:hAnsiTheme="minorHAnsi" w:cstheme="minorHAnsi"/>
        </w:rPr>
        <w:t>– the individual or group raising their voice in the public sphere.</w:t>
      </w:r>
    </w:p>
    <w:p w14:paraId="054B613A" w14:textId="304427B1" w:rsidR="009247F0" w:rsidRPr="00EE361A" w:rsidRDefault="009247F0" w:rsidP="009247F0">
      <w:pPr>
        <w:numPr>
          <w:ilvl w:val="0"/>
          <w:numId w:val="1"/>
        </w:numPr>
        <w:jc w:val="both"/>
        <w:rPr>
          <w:rFonts w:asciiTheme="minorHAnsi" w:hAnsiTheme="minorHAnsi" w:cstheme="minorHAnsi"/>
        </w:rPr>
      </w:pPr>
      <w:r w:rsidRPr="00EE361A">
        <w:rPr>
          <w:rFonts w:asciiTheme="minorHAnsi" w:hAnsiTheme="minorHAnsi" w:cstheme="minorHAnsi"/>
          <w:b/>
          <w:bCs/>
        </w:rPr>
        <w:t>Addressee</w:t>
      </w:r>
      <w:r w:rsidRPr="00EE361A">
        <w:rPr>
          <w:rFonts w:asciiTheme="minorHAnsi" w:hAnsiTheme="minorHAnsi" w:cstheme="minorHAnsi"/>
        </w:rPr>
        <w:t>– the person, institution, or entity responsible for addressing (or not addressing) the issue.</w:t>
      </w:r>
    </w:p>
    <w:p w14:paraId="37DD9A94" w14:textId="54F29D53" w:rsidR="009247F0" w:rsidRPr="00EE361A" w:rsidRDefault="009247F0" w:rsidP="009247F0">
      <w:pPr>
        <w:numPr>
          <w:ilvl w:val="0"/>
          <w:numId w:val="1"/>
        </w:numPr>
        <w:jc w:val="both"/>
        <w:rPr>
          <w:rFonts w:asciiTheme="minorHAnsi" w:hAnsiTheme="minorHAnsi" w:cstheme="minorHAnsi"/>
        </w:rPr>
      </w:pPr>
      <w:r w:rsidRPr="00EE361A">
        <w:rPr>
          <w:rFonts w:asciiTheme="minorHAnsi" w:hAnsiTheme="minorHAnsi" w:cstheme="minorHAnsi"/>
          <w:b/>
          <w:bCs/>
        </w:rPr>
        <w:t>Issue</w:t>
      </w:r>
      <w:r w:rsidRPr="00EE361A">
        <w:rPr>
          <w:rFonts w:asciiTheme="minorHAnsi" w:hAnsiTheme="minorHAnsi" w:cstheme="minorHAnsi"/>
        </w:rPr>
        <w:t>– the specific topic or concern that the sender brings to public attention.</w:t>
      </w:r>
    </w:p>
    <w:p w14:paraId="4B7FF58F" w14:textId="77777777" w:rsidR="009247F0" w:rsidRPr="00EE361A" w:rsidRDefault="009247F0" w:rsidP="009247F0">
      <w:pPr>
        <w:ind w:left="360"/>
        <w:jc w:val="both"/>
        <w:rPr>
          <w:rFonts w:asciiTheme="minorHAnsi" w:hAnsiTheme="minorHAnsi" w:cstheme="minorHAnsi"/>
        </w:rPr>
      </w:pPr>
    </w:p>
    <w:p w14:paraId="06FC47F8" w14:textId="3C516987"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In total, 1,904 political claims were identified and manually coded. To ensure consistency, the research team conducted two online and one on-site training workshops to harmonise coding practices, clarify </w:t>
      </w:r>
      <w:r w:rsidR="00B53ABE" w:rsidRPr="00EE361A">
        <w:rPr>
          <w:rFonts w:asciiTheme="minorHAnsi" w:hAnsiTheme="minorHAnsi" w:cstheme="minorHAnsi"/>
        </w:rPr>
        <w:t xml:space="preserve">coding </w:t>
      </w:r>
      <w:r w:rsidRPr="00EE361A">
        <w:rPr>
          <w:rFonts w:asciiTheme="minorHAnsi" w:hAnsiTheme="minorHAnsi" w:cstheme="minorHAnsi"/>
        </w:rPr>
        <w:t xml:space="preserve">rules, and resolve </w:t>
      </w:r>
      <w:r w:rsidRPr="00EE361A">
        <w:rPr>
          <w:rFonts w:asciiTheme="minorHAnsi" w:hAnsiTheme="minorHAnsi" w:cstheme="minorHAnsi"/>
        </w:rPr>
        <w:lastRenderedPageBreak/>
        <w:t>ambiguities.</w:t>
      </w:r>
      <w:r w:rsidR="009341F7" w:rsidRPr="00EE361A">
        <w:rPr>
          <w:rFonts w:asciiTheme="minorHAnsi" w:hAnsiTheme="minorHAnsi" w:cstheme="minorHAnsi"/>
        </w:rPr>
        <w:t xml:space="preserve"> </w:t>
      </w:r>
      <w:r w:rsidRPr="00EE361A">
        <w:rPr>
          <w:rFonts w:asciiTheme="minorHAnsi" w:hAnsiTheme="minorHAnsi" w:cstheme="minorHAnsi"/>
        </w:rPr>
        <w:t xml:space="preserve">Inter-coder reliability was tested in three rounds using randomly selected samples from all </w:t>
      </w:r>
      <w:r w:rsidR="00B53ABE" w:rsidRPr="00EE361A">
        <w:rPr>
          <w:rFonts w:asciiTheme="minorHAnsi" w:hAnsiTheme="minorHAnsi" w:cstheme="minorHAnsi"/>
        </w:rPr>
        <w:t>outlets</w:t>
      </w:r>
      <w:r w:rsidRPr="00EE361A">
        <w:rPr>
          <w:rFonts w:asciiTheme="minorHAnsi" w:hAnsiTheme="minorHAnsi" w:cstheme="minorHAnsi"/>
        </w:rPr>
        <w:t>. Reliability was assessed on two levels: (1) the identification of claims within each article and (2) the accuracy of coding decisions for each claim (actor, issue, addressee). Thirty articles were coded independently by two coders and two instructors across the three rounds. After each round, coders’ results were compared with a sample solution developed by the instructors, which served as a benchmark for consistency. This approach follows standard practice in political claims analysis, where statistical measures such as Krippendorff’s alpha or Cohen’s kappa are not well suited because coders must first identify claims before assigning categories</w:t>
      </w:r>
      <w:r w:rsidR="00D22C2B" w:rsidRPr="00EE361A">
        <w:rPr>
          <w:rFonts w:asciiTheme="minorHAnsi" w:hAnsiTheme="minorHAnsi" w:cstheme="minorHAnsi"/>
        </w:rPr>
        <w:t xml:space="preserve"> (</w:t>
      </w:r>
      <w:r w:rsidR="00145C63" w:rsidRPr="00EE361A">
        <w:rPr>
          <w:rFonts w:asciiTheme="minorHAnsi" w:hAnsiTheme="minorHAnsi" w:cstheme="minorHAnsi"/>
        </w:rPr>
        <w:t xml:space="preserve">Entrust, 2022; </w:t>
      </w:r>
      <w:r w:rsidR="00D22C2B" w:rsidRPr="00EE361A">
        <w:rPr>
          <w:rFonts w:asciiTheme="minorHAnsi" w:hAnsiTheme="minorHAnsi" w:cstheme="minorHAnsi"/>
        </w:rPr>
        <w:t>T</w:t>
      </w:r>
      <w:r w:rsidR="00145C63" w:rsidRPr="00EE361A">
        <w:rPr>
          <w:rFonts w:asciiTheme="minorHAnsi" w:hAnsiTheme="minorHAnsi" w:cstheme="minorHAnsi"/>
        </w:rPr>
        <w:t>rans</w:t>
      </w:r>
      <w:r w:rsidR="00D22C2B" w:rsidRPr="00EE361A">
        <w:rPr>
          <w:rFonts w:asciiTheme="minorHAnsi" w:hAnsiTheme="minorHAnsi" w:cstheme="minorHAnsi"/>
        </w:rPr>
        <w:t>SOL</w:t>
      </w:r>
      <w:r w:rsidR="00145C63" w:rsidRPr="00EE361A">
        <w:rPr>
          <w:rFonts w:asciiTheme="minorHAnsi" w:hAnsiTheme="minorHAnsi" w:cstheme="minorHAnsi"/>
        </w:rPr>
        <w:t>,</w:t>
      </w:r>
      <w:r w:rsidR="00D22C2B" w:rsidRPr="00EE361A">
        <w:rPr>
          <w:rFonts w:asciiTheme="minorHAnsi" w:hAnsiTheme="minorHAnsi" w:cstheme="minorHAnsi"/>
        </w:rPr>
        <w:t xml:space="preserve"> 2020)</w:t>
      </w:r>
      <w:r w:rsidRPr="00EE361A">
        <w:rPr>
          <w:rFonts w:asciiTheme="minorHAnsi" w:hAnsiTheme="minorHAnsi" w:cstheme="minorHAnsi"/>
        </w:rPr>
        <w:t>.</w:t>
      </w:r>
    </w:p>
    <w:p w14:paraId="1761A07B" w14:textId="77777777" w:rsidR="009247F0" w:rsidRPr="00EE361A" w:rsidRDefault="009247F0" w:rsidP="009247F0">
      <w:pPr>
        <w:jc w:val="both"/>
        <w:rPr>
          <w:rFonts w:asciiTheme="minorHAnsi" w:hAnsiTheme="minorHAnsi" w:cstheme="minorHAnsi"/>
        </w:rPr>
      </w:pPr>
    </w:p>
    <w:p w14:paraId="175648AE" w14:textId="7D554AF7" w:rsidR="009247F0" w:rsidRPr="00EE361A" w:rsidRDefault="0006771F" w:rsidP="009247F0">
      <w:pPr>
        <w:jc w:val="both"/>
        <w:rPr>
          <w:rFonts w:asciiTheme="minorHAnsi" w:hAnsiTheme="minorHAnsi" w:cstheme="minorHAnsi"/>
        </w:rPr>
      </w:pPr>
      <w:r w:rsidRPr="00EE361A">
        <w:rPr>
          <w:rFonts w:asciiTheme="minorHAnsi" w:hAnsiTheme="minorHAnsi" w:cstheme="minorHAnsi"/>
        </w:rPr>
        <w:t>The results showed 85 per cent agreement in identifying the same political claims, 70.5 per cent for identifying the same senders, 76.5 per cent for the same addressees, and 88.2 per cent for the same issues.</w:t>
      </w:r>
      <w:r w:rsidR="000D6E01" w:rsidRPr="00EE361A">
        <w:rPr>
          <w:rFonts w:asciiTheme="minorHAnsi" w:hAnsiTheme="minorHAnsi" w:cstheme="minorHAnsi"/>
        </w:rPr>
        <w:t xml:space="preserve"> </w:t>
      </w:r>
      <w:r w:rsidR="009247F0" w:rsidRPr="00EE361A">
        <w:rPr>
          <w:rFonts w:asciiTheme="minorHAnsi" w:hAnsiTheme="minorHAnsi" w:cstheme="minorHAnsi"/>
        </w:rPr>
        <w:t>Although this level of agreement leaves some room for error, it remains acceptable for complex multi-claim analyses and is consistent with previous comparative research in this field</w:t>
      </w:r>
      <w:r w:rsidR="001719A4" w:rsidRPr="00EE361A">
        <w:rPr>
          <w:rFonts w:asciiTheme="minorHAnsi" w:hAnsiTheme="minorHAnsi" w:cstheme="minorHAnsi"/>
        </w:rPr>
        <w:t xml:space="preserve"> (Entrust, 2022; TransSOL, 2020)</w:t>
      </w:r>
      <w:r w:rsidR="009247F0" w:rsidRPr="00EE361A">
        <w:rPr>
          <w:rFonts w:asciiTheme="minorHAnsi" w:hAnsiTheme="minorHAnsi" w:cstheme="minorHAnsi"/>
        </w:rPr>
        <w:t>. The potential risks of inconsistency were further mitigated through repeated training, iterative feedback, and triangulation with qualitative evidence, ensuring that the final results rest on robust and convergent patterns.</w:t>
      </w:r>
    </w:p>
    <w:p w14:paraId="642F0550" w14:textId="77777777" w:rsidR="009247F0" w:rsidRPr="00EE361A" w:rsidRDefault="009247F0" w:rsidP="009247F0">
      <w:pPr>
        <w:jc w:val="both"/>
        <w:rPr>
          <w:rFonts w:asciiTheme="minorHAnsi" w:hAnsiTheme="minorHAnsi" w:cstheme="minorHAnsi"/>
        </w:rPr>
      </w:pPr>
    </w:p>
    <w:p w14:paraId="0D07EC60" w14:textId="42BFD730" w:rsidR="00755BD9" w:rsidRPr="00EE361A" w:rsidRDefault="009247F0" w:rsidP="009247F0">
      <w:pPr>
        <w:jc w:val="both"/>
        <w:rPr>
          <w:rFonts w:asciiTheme="minorHAnsi" w:hAnsiTheme="minorHAnsi" w:cstheme="minorHAnsi"/>
        </w:rPr>
      </w:pPr>
      <w:r w:rsidRPr="00EE361A">
        <w:rPr>
          <w:rFonts w:asciiTheme="minorHAnsi" w:hAnsiTheme="minorHAnsi" w:cstheme="minorHAnsi"/>
        </w:rPr>
        <w:t xml:space="preserve">To analyse the contestation from bellow, we focused on Facebook </w:t>
      </w:r>
      <w:r w:rsidR="00AB76FD" w:rsidRPr="00EE361A">
        <w:rPr>
          <w:rFonts w:asciiTheme="minorHAnsi" w:hAnsiTheme="minorHAnsi" w:cstheme="minorHAnsi"/>
        </w:rPr>
        <w:t xml:space="preserve">as </w:t>
      </w:r>
      <w:r w:rsidR="00755BD9" w:rsidRPr="00EE361A">
        <w:rPr>
          <w:rFonts w:asciiTheme="minorHAnsi" w:hAnsiTheme="minorHAnsi" w:cstheme="minorHAnsi"/>
        </w:rPr>
        <w:t>t</w:t>
      </w:r>
      <w:r w:rsidR="00AB76FD" w:rsidRPr="00EE361A">
        <w:rPr>
          <w:rFonts w:asciiTheme="minorHAnsi" w:hAnsiTheme="minorHAnsi" w:cstheme="minorHAnsi"/>
        </w:rPr>
        <w:t>he most widely used social media platform in Greece during the pandemic — used by 76 per cent of the population overall and 53 per cent specifically for news, compared with 25 per cent (15 per cent for news) for Twitter</w:t>
      </w:r>
      <w:r w:rsidR="000B451E" w:rsidRPr="00EE361A">
        <w:rPr>
          <w:rFonts w:asciiTheme="minorHAnsi" w:hAnsiTheme="minorHAnsi" w:cstheme="minorHAnsi"/>
        </w:rPr>
        <w:t xml:space="preserve"> according to</w:t>
      </w:r>
      <w:r w:rsidR="00AB76FD" w:rsidRPr="00EE361A">
        <w:rPr>
          <w:rFonts w:asciiTheme="minorHAnsi" w:hAnsiTheme="minorHAnsi" w:cstheme="minorHAnsi"/>
        </w:rPr>
        <w:t xml:space="preserve"> </w:t>
      </w:r>
      <w:r w:rsidRPr="00EE361A">
        <w:rPr>
          <w:rFonts w:asciiTheme="minorHAnsi" w:hAnsiTheme="minorHAnsi" w:cstheme="minorHAnsi"/>
          <w:i/>
          <w:iCs/>
        </w:rPr>
        <w:t>Reuters Institute Digital News Report</w:t>
      </w:r>
      <w:r w:rsidR="001719A4" w:rsidRPr="00EE361A">
        <w:rPr>
          <w:rStyle w:val="Rimandonotaapidipagina"/>
          <w:rFonts w:asciiTheme="minorHAnsi" w:hAnsiTheme="minorHAnsi" w:cstheme="minorHAnsi"/>
          <w:i/>
          <w:iCs/>
        </w:rPr>
        <w:footnoteReference w:id="7"/>
      </w:r>
      <w:r w:rsidRPr="00EE361A">
        <w:rPr>
          <w:rFonts w:asciiTheme="minorHAnsi" w:hAnsiTheme="minorHAnsi" w:cstheme="minorHAnsi"/>
        </w:rPr>
        <w:t xml:space="preserve"> </w:t>
      </w:r>
      <w:r w:rsidR="000B451E" w:rsidRPr="00EE361A">
        <w:rPr>
          <w:rFonts w:asciiTheme="minorHAnsi" w:hAnsiTheme="minorHAnsi" w:cstheme="minorHAnsi"/>
        </w:rPr>
        <w:t xml:space="preserve">in </w:t>
      </w:r>
      <w:r w:rsidRPr="00EE361A">
        <w:rPr>
          <w:rFonts w:asciiTheme="minorHAnsi" w:hAnsiTheme="minorHAnsi" w:cstheme="minorHAnsi"/>
        </w:rPr>
        <w:t>2022.</w:t>
      </w:r>
    </w:p>
    <w:p w14:paraId="7A8E84C4" w14:textId="77777777" w:rsidR="00755BD9" w:rsidRPr="00EE361A" w:rsidRDefault="00755BD9" w:rsidP="009247F0">
      <w:pPr>
        <w:jc w:val="both"/>
        <w:rPr>
          <w:rFonts w:asciiTheme="minorHAnsi" w:hAnsiTheme="minorHAnsi" w:cstheme="minorHAnsi"/>
        </w:rPr>
      </w:pPr>
    </w:p>
    <w:p w14:paraId="54A80259" w14:textId="3B489805"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Using </w:t>
      </w:r>
      <w:r w:rsidRPr="00EE361A">
        <w:rPr>
          <w:rFonts w:asciiTheme="minorHAnsi" w:hAnsiTheme="minorHAnsi" w:cstheme="minorHAnsi"/>
          <w:i/>
          <w:iCs/>
        </w:rPr>
        <w:t>CrowdTangle</w:t>
      </w:r>
      <w:r w:rsidRPr="00EE361A">
        <w:rPr>
          <w:rFonts w:asciiTheme="minorHAnsi" w:hAnsiTheme="minorHAnsi" w:cstheme="minorHAnsi"/>
        </w:rPr>
        <w:t>, we collected posts from the Facebook pages of the four selected media outlets, applying the same keywords, time periods, and proportional sampling as in the online media analysis</w:t>
      </w:r>
      <w:r w:rsidRPr="00EE361A">
        <w:rPr>
          <w:rStyle w:val="Rimandonotaapidipagina"/>
          <w:rFonts w:asciiTheme="minorHAnsi" w:eastAsiaTheme="majorEastAsia" w:hAnsiTheme="minorHAnsi" w:cstheme="minorHAnsi"/>
        </w:rPr>
        <w:footnoteReference w:id="8"/>
      </w:r>
      <w:r w:rsidRPr="00EE361A">
        <w:rPr>
          <w:rFonts w:asciiTheme="minorHAnsi" w:hAnsiTheme="minorHAnsi" w:cstheme="minorHAnsi"/>
        </w:rPr>
        <w:t xml:space="preserve">. Posts were ranked by number of comments, based on the assumption that highly commented posts reflect </w:t>
      </w:r>
      <w:r w:rsidR="00D278F9" w:rsidRPr="00EE361A">
        <w:rPr>
          <w:rFonts w:asciiTheme="minorHAnsi" w:hAnsiTheme="minorHAnsi" w:cstheme="minorHAnsi"/>
        </w:rPr>
        <w:t xml:space="preserve">moments of heightened debate, rather than routine responses to pandemic news </w:t>
      </w:r>
      <w:r w:rsidRPr="00EE361A">
        <w:rPr>
          <w:rFonts w:asciiTheme="minorHAnsi" w:hAnsiTheme="minorHAnsi" w:cstheme="minorHAnsi"/>
        </w:rPr>
        <w:t>The 160 posts with the highest number of comments were selected for analysis. Within each post, up to 15 of the most reacted comments—those receiving the highest number of likes or emoticons—were manually coded, producing a dataset of 2,363 comments. Only textual comments were included, while images, GIFs, emojis, and replies were excluded to maintain consistency.</w:t>
      </w:r>
      <w:r w:rsidRPr="00EE361A">
        <w:t xml:space="preserve"> </w:t>
      </w:r>
      <w:r w:rsidRPr="00EE361A">
        <w:rPr>
          <w:rFonts w:asciiTheme="minorHAnsi" w:hAnsiTheme="minorHAnsi" w:cstheme="minorHAnsi"/>
        </w:rPr>
        <w:t xml:space="preserve">Each Facebook comment was treated as a simplified form of </w:t>
      </w:r>
      <w:r w:rsidR="00755BD9" w:rsidRPr="00EE361A">
        <w:rPr>
          <w:rFonts w:asciiTheme="minorHAnsi" w:hAnsiTheme="minorHAnsi" w:cstheme="minorHAnsi"/>
        </w:rPr>
        <w:t xml:space="preserve">claim </w:t>
      </w:r>
      <w:r w:rsidR="00AB76FD" w:rsidRPr="00EE361A">
        <w:rPr>
          <w:rFonts w:asciiTheme="minorHAnsi" w:hAnsiTheme="minorHAnsi" w:cstheme="minorHAnsi"/>
        </w:rPr>
        <w:t xml:space="preserve">focusing </w:t>
      </w:r>
      <w:r w:rsidRPr="00EE361A">
        <w:rPr>
          <w:rFonts w:asciiTheme="minorHAnsi" w:hAnsiTheme="minorHAnsi" w:cstheme="minorHAnsi"/>
        </w:rPr>
        <w:t xml:space="preserve">on three </w:t>
      </w:r>
      <w:r w:rsidR="00AB76FD" w:rsidRPr="00EE361A">
        <w:rPr>
          <w:rFonts w:asciiTheme="minorHAnsi" w:hAnsiTheme="minorHAnsi" w:cstheme="minorHAnsi"/>
        </w:rPr>
        <w:t>key variables:</w:t>
      </w:r>
    </w:p>
    <w:p w14:paraId="4C6EEDB1" w14:textId="77777777" w:rsidR="009247F0" w:rsidRPr="00EE361A" w:rsidRDefault="009247F0" w:rsidP="009247F0">
      <w:pPr>
        <w:jc w:val="both"/>
        <w:rPr>
          <w:rFonts w:asciiTheme="minorHAnsi" w:hAnsiTheme="minorHAnsi" w:cstheme="minorHAnsi"/>
        </w:rPr>
      </w:pPr>
    </w:p>
    <w:p w14:paraId="56A18594" w14:textId="5939D32B" w:rsidR="009247F0" w:rsidRPr="00EE361A" w:rsidRDefault="009247F0" w:rsidP="009247F0">
      <w:pPr>
        <w:pStyle w:val="Paragrafoelenco"/>
        <w:numPr>
          <w:ilvl w:val="0"/>
          <w:numId w:val="3"/>
        </w:numPr>
        <w:jc w:val="both"/>
        <w:rPr>
          <w:rFonts w:asciiTheme="minorHAnsi" w:hAnsiTheme="minorHAnsi" w:cstheme="minorHAnsi"/>
        </w:rPr>
      </w:pPr>
      <w:r w:rsidRPr="00EE361A">
        <w:rPr>
          <w:rFonts w:asciiTheme="minorHAnsi" w:hAnsiTheme="minorHAnsi" w:cstheme="minorHAnsi"/>
          <w:b/>
          <w:bCs/>
        </w:rPr>
        <w:lastRenderedPageBreak/>
        <w:t>Relevance to the article</w:t>
      </w:r>
      <w:r w:rsidR="00A2689E" w:rsidRPr="00EE361A">
        <w:rPr>
          <w:rFonts w:asciiTheme="minorHAnsi" w:hAnsiTheme="minorHAnsi" w:cstheme="minorHAnsi"/>
        </w:rPr>
        <w:t>:</w:t>
      </w:r>
      <w:r w:rsidRPr="00EE361A">
        <w:rPr>
          <w:rFonts w:asciiTheme="minorHAnsi" w:hAnsiTheme="minorHAnsi" w:cstheme="minorHAnsi"/>
        </w:rPr>
        <w:t xml:space="preserve"> comment as response to the article or as expression of individual opinion</w:t>
      </w:r>
      <w:r w:rsidRPr="00EE361A">
        <w:rPr>
          <w:rStyle w:val="Rimandonotaapidipagina"/>
          <w:rFonts w:asciiTheme="minorHAnsi" w:hAnsiTheme="minorHAnsi" w:cstheme="minorHAnsi"/>
        </w:rPr>
        <w:footnoteReference w:id="9"/>
      </w:r>
      <w:r w:rsidRPr="00EE361A">
        <w:rPr>
          <w:rFonts w:asciiTheme="minorHAnsi" w:hAnsiTheme="minorHAnsi" w:cstheme="minorHAnsi"/>
        </w:rPr>
        <w:t xml:space="preserve"> </w:t>
      </w:r>
    </w:p>
    <w:p w14:paraId="3C7688B0" w14:textId="5D7A9BFA" w:rsidR="00755BD9" w:rsidRPr="00EE361A" w:rsidRDefault="009247F0" w:rsidP="00755BD9">
      <w:pPr>
        <w:pStyle w:val="Paragrafoelenco"/>
        <w:numPr>
          <w:ilvl w:val="0"/>
          <w:numId w:val="3"/>
        </w:numPr>
        <w:jc w:val="both"/>
        <w:rPr>
          <w:rFonts w:asciiTheme="minorHAnsi" w:hAnsiTheme="minorHAnsi" w:cstheme="minorHAnsi"/>
        </w:rPr>
      </w:pPr>
      <w:r w:rsidRPr="00EE361A">
        <w:rPr>
          <w:rFonts w:asciiTheme="minorHAnsi" w:hAnsiTheme="minorHAnsi" w:cstheme="minorHAnsi"/>
          <w:b/>
          <w:bCs/>
        </w:rPr>
        <w:t>Target</w:t>
      </w:r>
      <w:r w:rsidR="00A2689E" w:rsidRPr="00EE361A">
        <w:rPr>
          <w:rFonts w:asciiTheme="minorHAnsi" w:hAnsiTheme="minorHAnsi" w:cstheme="minorHAnsi"/>
        </w:rPr>
        <w:t>:</w:t>
      </w:r>
      <w:r w:rsidRPr="00EE361A">
        <w:rPr>
          <w:rFonts w:asciiTheme="minorHAnsi" w:hAnsiTheme="minorHAnsi" w:cstheme="minorHAnsi"/>
        </w:rPr>
        <w:t xml:space="preserve"> the person, institution, or entity responsible for addressing (or not addressing) the issue.</w:t>
      </w:r>
    </w:p>
    <w:p w14:paraId="0AF4B83A" w14:textId="0F29D995" w:rsidR="005E522E" w:rsidRPr="00EE361A" w:rsidRDefault="009247F0" w:rsidP="00755BD9">
      <w:pPr>
        <w:pStyle w:val="Paragrafoelenco"/>
        <w:numPr>
          <w:ilvl w:val="0"/>
          <w:numId w:val="3"/>
        </w:numPr>
        <w:jc w:val="both"/>
        <w:rPr>
          <w:rFonts w:asciiTheme="minorHAnsi" w:hAnsiTheme="minorHAnsi" w:cstheme="minorHAnsi"/>
        </w:rPr>
      </w:pPr>
      <w:r w:rsidRPr="00EE361A">
        <w:rPr>
          <w:rFonts w:asciiTheme="minorHAnsi" w:hAnsiTheme="minorHAnsi" w:cstheme="minorHAnsi"/>
          <w:b/>
          <w:bCs/>
        </w:rPr>
        <w:t>Issue</w:t>
      </w:r>
      <w:r w:rsidR="00A2689E" w:rsidRPr="00EE361A">
        <w:rPr>
          <w:rFonts w:asciiTheme="minorHAnsi" w:hAnsiTheme="minorHAnsi" w:cstheme="minorHAnsi"/>
        </w:rPr>
        <w:t>:</w:t>
      </w:r>
      <w:r w:rsidRPr="00EE361A">
        <w:rPr>
          <w:rFonts w:asciiTheme="minorHAnsi" w:hAnsiTheme="minorHAnsi" w:cstheme="minorHAnsi"/>
        </w:rPr>
        <w:t xml:space="preserve"> the specific topic or concern that the sender brings to </w:t>
      </w:r>
      <w:r w:rsidR="0068560A" w:rsidRPr="00EE361A">
        <w:rPr>
          <w:rFonts w:asciiTheme="minorHAnsi" w:hAnsiTheme="minorHAnsi" w:cstheme="minorHAnsi"/>
        </w:rPr>
        <w:t xml:space="preserve">the </w:t>
      </w:r>
      <w:r w:rsidRPr="00EE361A">
        <w:rPr>
          <w:rFonts w:asciiTheme="minorHAnsi" w:hAnsiTheme="minorHAnsi" w:cstheme="minorHAnsi"/>
        </w:rPr>
        <w:t>public</w:t>
      </w:r>
      <w:r w:rsidR="005E522E" w:rsidRPr="00EE361A">
        <w:rPr>
          <w:rFonts w:asciiTheme="minorHAnsi" w:hAnsiTheme="minorHAnsi" w:cstheme="minorHAnsi"/>
        </w:rPr>
        <w:t>.</w:t>
      </w:r>
    </w:p>
    <w:p w14:paraId="2BFFD8CC" w14:textId="77777777" w:rsidR="005E522E" w:rsidRPr="00EE361A" w:rsidRDefault="005E522E" w:rsidP="009247F0">
      <w:pPr>
        <w:jc w:val="both"/>
        <w:rPr>
          <w:rFonts w:asciiTheme="minorHAnsi" w:hAnsiTheme="minorHAnsi" w:cstheme="minorHAnsi"/>
        </w:rPr>
      </w:pPr>
    </w:p>
    <w:p w14:paraId="34B15858" w14:textId="77777777" w:rsidR="009247F0" w:rsidRPr="00EE361A" w:rsidRDefault="009247F0" w:rsidP="009247F0">
      <w:pPr>
        <w:jc w:val="both"/>
        <w:rPr>
          <w:rFonts w:asciiTheme="minorHAnsi" w:hAnsiTheme="minorHAnsi" w:cstheme="minorHAnsi"/>
        </w:rPr>
      </w:pPr>
      <w:r w:rsidRPr="00EE361A">
        <w:rPr>
          <w:rFonts w:asciiTheme="minorHAnsi" w:hAnsiTheme="minorHAnsi" w:cstheme="minorHAnsi"/>
        </w:rPr>
        <w:t>Finally, to gain insight into the role of scientists as public communicators, 16 in-depth semi-structured interviews were conducted, with a total recorded duration of 14 hours. The interviews took place between November 2023 and April 2024 and included:</w:t>
      </w:r>
    </w:p>
    <w:p w14:paraId="1296EDCE" w14:textId="28CFADCA" w:rsidR="009247F0" w:rsidRPr="00EE361A" w:rsidRDefault="009247F0" w:rsidP="009247F0">
      <w:pPr>
        <w:numPr>
          <w:ilvl w:val="0"/>
          <w:numId w:val="5"/>
        </w:numPr>
        <w:jc w:val="both"/>
        <w:rPr>
          <w:rFonts w:asciiTheme="minorHAnsi" w:hAnsiTheme="minorHAnsi" w:cstheme="minorHAnsi"/>
        </w:rPr>
      </w:pPr>
      <w:r w:rsidRPr="00EE361A">
        <w:rPr>
          <w:rFonts w:asciiTheme="minorHAnsi" w:hAnsiTheme="minorHAnsi" w:cstheme="minorHAnsi"/>
        </w:rPr>
        <w:t>Three members or officials of the Ministry of Health</w:t>
      </w:r>
    </w:p>
    <w:p w14:paraId="432DB667" w14:textId="77777777" w:rsidR="009247F0" w:rsidRPr="00EE361A" w:rsidRDefault="009247F0" w:rsidP="009247F0">
      <w:pPr>
        <w:numPr>
          <w:ilvl w:val="0"/>
          <w:numId w:val="5"/>
        </w:numPr>
        <w:jc w:val="both"/>
        <w:rPr>
          <w:rFonts w:asciiTheme="minorHAnsi" w:hAnsiTheme="minorHAnsi" w:cstheme="minorHAnsi"/>
        </w:rPr>
      </w:pPr>
      <w:r w:rsidRPr="00EE361A">
        <w:rPr>
          <w:rFonts w:asciiTheme="minorHAnsi" w:hAnsiTheme="minorHAnsi" w:cstheme="minorHAnsi"/>
        </w:rPr>
        <w:t>Three journalists covering health-related news</w:t>
      </w:r>
    </w:p>
    <w:p w14:paraId="4BBB5A98" w14:textId="77777777" w:rsidR="009247F0" w:rsidRPr="00EE361A" w:rsidRDefault="009247F0" w:rsidP="009247F0">
      <w:pPr>
        <w:numPr>
          <w:ilvl w:val="0"/>
          <w:numId w:val="5"/>
        </w:numPr>
        <w:jc w:val="both"/>
        <w:rPr>
          <w:rFonts w:asciiTheme="minorHAnsi" w:hAnsiTheme="minorHAnsi" w:cstheme="minorHAnsi"/>
        </w:rPr>
      </w:pPr>
      <w:r w:rsidRPr="00EE361A">
        <w:rPr>
          <w:rFonts w:asciiTheme="minorHAnsi" w:hAnsiTheme="minorHAnsi" w:cstheme="minorHAnsi"/>
        </w:rPr>
        <w:t>Three scientists from the medical sector who were not members of the national Committee on Infectious Diseases</w:t>
      </w:r>
    </w:p>
    <w:p w14:paraId="6D8F5681" w14:textId="77777777" w:rsidR="009247F0" w:rsidRPr="00EE361A" w:rsidRDefault="009247F0" w:rsidP="009247F0">
      <w:pPr>
        <w:numPr>
          <w:ilvl w:val="0"/>
          <w:numId w:val="5"/>
        </w:numPr>
        <w:jc w:val="both"/>
        <w:rPr>
          <w:rFonts w:asciiTheme="minorHAnsi" w:hAnsiTheme="minorHAnsi" w:cstheme="minorHAnsi"/>
        </w:rPr>
      </w:pPr>
      <w:r w:rsidRPr="00EE361A">
        <w:rPr>
          <w:rFonts w:asciiTheme="minorHAnsi" w:hAnsiTheme="minorHAnsi" w:cstheme="minorHAnsi"/>
        </w:rPr>
        <w:t>Seven scientific members of the Committee on Infectious Diseases</w:t>
      </w:r>
    </w:p>
    <w:p w14:paraId="2EF6722C" w14:textId="77777777" w:rsidR="009247F0" w:rsidRPr="00EE361A" w:rsidRDefault="009247F0" w:rsidP="009247F0">
      <w:pPr>
        <w:ind w:left="720"/>
        <w:jc w:val="both"/>
        <w:rPr>
          <w:rFonts w:asciiTheme="minorHAnsi" w:hAnsiTheme="minorHAnsi" w:cstheme="minorHAnsi"/>
        </w:rPr>
      </w:pPr>
    </w:p>
    <w:p w14:paraId="3F86DD9F" w14:textId="6286D598" w:rsidR="009247F0" w:rsidRPr="00EE361A" w:rsidRDefault="009247F0" w:rsidP="009247F0">
      <w:pPr>
        <w:jc w:val="both"/>
        <w:rPr>
          <w:rFonts w:asciiTheme="minorHAnsi" w:hAnsiTheme="minorHAnsi" w:cstheme="minorHAnsi"/>
        </w:rPr>
      </w:pPr>
      <w:r w:rsidRPr="00EE361A">
        <w:rPr>
          <w:rFonts w:asciiTheme="minorHAnsi" w:hAnsiTheme="minorHAnsi" w:cstheme="minorHAnsi"/>
        </w:rPr>
        <w:t xml:space="preserve">Coding </w:t>
      </w:r>
      <w:r w:rsidR="00AF3C82" w:rsidRPr="00EE361A">
        <w:rPr>
          <w:rFonts w:asciiTheme="minorHAnsi" w:hAnsiTheme="minorHAnsi" w:cstheme="minorHAnsi"/>
        </w:rPr>
        <w:t xml:space="preserve">of transcribed and anonymized interviews </w:t>
      </w:r>
      <w:r w:rsidRPr="00EE361A">
        <w:rPr>
          <w:rFonts w:asciiTheme="minorHAnsi" w:hAnsiTheme="minorHAnsi" w:cstheme="minorHAnsi"/>
        </w:rPr>
        <w:t>was carried out in Excel, beginning with broad thematic categories and gradually refined into more specific subthemes. The initial analytical categories were:</w:t>
      </w:r>
    </w:p>
    <w:p w14:paraId="33F0FC39" w14:textId="77777777" w:rsidR="009247F0" w:rsidRPr="00EE361A" w:rsidRDefault="009247F0" w:rsidP="009247F0">
      <w:pPr>
        <w:numPr>
          <w:ilvl w:val="0"/>
          <w:numId w:val="6"/>
        </w:numPr>
        <w:jc w:val="both"/>
        <w:rPr>
          <w:rFonts w:asciiTheme="minorHAnsi" w:hAnsiTheme="minorHAnsi" w:cstheme="minorHAnsi"/>
        </w:rPr>
      </w:pPr>
      <w:r w:rsidRPr="00EE361A">
        <w:rPr>
          <w:rFonts w:asciiTheme="minorHAnsi" w:hAnsiTheme="minorHAnsi" w:cstheme="minorHAnsi"/>
          <w:b/>
          <w:bCs/>
        </w:rPr>
        <w:t>The scientific committee</w:t>
      </w:r>
      <w:r w:rsidRPr="00EE361A">
        <w:rPr>
          <w:rFonts w:asciiTheme="minorHAnsi" w:hAnsiTheme="minorHAnsi" w:cstheme="minorHAnsi"/>
        </w:rPr>
        <w:t>: its role and internal functioning</w:t>
      </w:r>
    </w:p>
    <w:p w14:paraId="3F08D9EB" w14:textId="77777777" w:rsidR="009247F0" w:rsidRPr="00EE361A" w:rsidRDefault="009247F0" w:rsidP="009247F0">
      <w:pPr>
        <w:numPr>
          <w:ilvl w:val="0"/>
          <w:numId w:val="6"/>
        </w:numPr>
        <w:jc w:val="both"/>
        <w:rPr>
          <w:rFonts w:asciiTheme="minorHAnsi" w:hAnsiTheme="minorHAnsi" w:cstheme="minorHAnsi"/>
        </w:rPr>
      </w:pPr>
      <w:r w:rsidRPr="00EE361A">
        <w:rPr>
          <w:rFonts w:asciiTheme="minorHAnsi" w:hAnsiTheme="minorHAnsi" w:cstheme="minorHAnsi"/>
          <w:b/>
          <w:bCs/>
        </w:rPr>
        <w:t>Communication management</w:t>
      </w:r>
      <w:r w:rsidRPr="00EE361A">
        <w:rPr>
          <w:rFonts w:asciiTheme="minorHAnsi" w:hAnsiTheme="minorHAnsi" w:cstheme="minorHAnsi"/>
        </w:rPr>
        <w:t>: media coverage and polarisation in public discourse</w:t>
      </w:r>
    </w:p>
    <w:p w14:paraId="4851FBF0" w14:textId="3F85AC35" w:rsidR="00F80B69" w:rsidRPr="00EE361A" w:rsidRDefault="009247F0" w:rsidP="00F80B69">
      <w:pPr>
        <w:numPr>
          <w:ilvl w:val="0"/>
          <w:numId w:val="6"/>
        </w:numPr>
        <w:jc w:val="both"/>
        <w:rPr>
          <w:rFonts w:asciiTheme="minorHAnsi" w:hAnsiTheme="minorHAnsi" w:cstheme="minorHAnsi"/>
        </w:rPr>
      </w:pPr>
      <w:r w:rsidRPr="00EE361A">
        <w:rPr>
          <w:rFonts w:asciiTheme="minorHAnsi" w:hAnsiTheme="minorHAnsi" w:cstheme="minorHAnsi"/>
          <w:b/>
          <w:bCs/>
        </w:rPr>
        <w:t>Aftermath and lessons learned</w:t>
      </w:r>
      <w:r w:rsidRPr="00EE361A">
        <w:rPr>
          <w:rFonts w:asciiTheme="minorHAnsi" w:hAnsiTheme="minorHAnsi" w:cstheme="minorHAnsi"/>
        </w:rPr>
        <w:t>: reflections on what remained after the pandemic and recommendations for future crisis communication</w:t>
      </w:r>
    </w:p>
    <w:p w14:paraId="5A9539B8" w14:textId="77777777" w:rsidR="00F80B69" w:rsidRPr="00EE361A" w:rsidRDefault="00F80B69" w:rsidP="00F80B69">
      <w:pPr>
        <w:jc w:val="both"/>
        <w:rPr>
          <w:rFonts w:asciiTheme="minorHAnsi" w:hAnsiTheme="minorHAnsi" w:cstheme="minorHAnsi"/>
        </w:rPr>
      </w:pPr>
    </w:p>
    <w:p w14:paraId="0AD3DBD2" w14:textId="77777777" w:rsidR="009247F0" w:rsidRPr="00EE361A" w:rsidRDefault="009247F0" w:rsidP="009247F0">
      <w:pPr>
        <w:ind w:left="720"/>
        <w:jc w:val="both"/>
        <w:rPr>
          <w:rFonts w:asciiTheme="minorHAnsi" w:hAnsiTheme="minorHAnsi" w:cstheme="minorHAnsi"/>
        </w:rPr>
      </w:pPr>
    </w:p>
    <w:p w14:paraId="71E50365" w14:textId="7F1A8906" w:rsidR="00F80B69" w:rsidRPr="00EE361A" w:rsidRDefault="00F80B69" w:rsidP="00F80B69">
      <w:pPr>
        <w:jc w:val="both"/>
        <w:rPr>
          <w:rFonts w:asciiTheme="minorHAnsi" w:eastAsiaTheme="majorEastAsia" w:hAnsiTheme="minorHAnsi" w:cstheme="minorHAnsi"/>
          <w:color w:val="0F4761" w:themeColor="accent1" w:themeShade="BF"/>
          <w:kern w:val="2"/>
          <w:sz w:val="40"/>
          <w:szCs w:val="40"/>
          <w:lang w:eastAsia="en-US"/>
          <w14:ligatures w14:val="standardContextual"/>
        </w:rPr>
      </w:pPr>
      <w:r w:rsidRPr="00EE361A">
        <w:rPr>
          <w:rFonts w:asciiTheme="minorHAnsi" w:eastAsiaTheme="majorEastAsia" w:hAnsiTheme="minorHAnsi" w:cstheme="minorHAnsi"/>
          <w:color w:val="0F4761" w:themeColor="accent1" w:themeShade="BF"/>
          <w:kern w:val="2"/>
          <w:sz w:val="40"/>
          <w:szCs w:val="40"/>
          <w:lang w:eastAsia="en-US"/>
          <w14:ligatures w14:val="standardContextual"/>
        </w:rPr>
        <w:t>Phases of contention in Pandemic Management</w:t>
      </w:r>
    </w:p>
    <w:p w14:paraId="79C02596"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5B6EDAE9"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The management of the Covid-19 pandemic in Greece was not a linear, evolving dynamically through ad-hoc responses shaped by the need to address complex health, social, economic and political challenges. To account for shifts of governmental strategies and their impact on society, we divided the Covid-19 crisis in Greece into three distinct phases —ranging from the initial centralized and effective lockdown to later periods marked by policy fatigue, declining public trust, and increasing social polarization. This approach enables us to trace crisis management strategies in response to changing epidemiological conditions, public sentiment, and institutional constraints. It highlights not only the government’s adaptability—or lack thereof—but also how each phase shaped compliance or contention.</w:t>
      </w:r>
    </w:p>
    <w:p w14:paraId="46D0FA61"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5A223DFE"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 xml:space="preserve">To understand Greece’s pandemic management, two key factors must be considered: the evolving relationship between state authorities and scientific experts, and the controversial use of state-controlled media funding. Central to the government’s response was the Committee on Infectious Diseases </w:t>
      </w:r>
      <w:r w:rsidRPr="00EE361A">
        <w:rPr>
          <w:rFonts w:asciiTheme="minorHAnsi" w:eastAsiaTheme="minorHAnsi" w:hAnsiTheme="minorHAnsi" w:cstheme="minorHAnsi"/>
          <w:kern w:val="2"/>
          <w:lang w:eastAsia="en-US"/>
          <w14:ligatures w14:val="standardContextual"/>
        </w:rPr>
        <w:lastRenderedPageBreak/>
        <w:t>(</w:t>
      </w:r>
      <w:r w:rsidRPr="00EE361A">
        <w:rPr>
          <w:rFonts w:asciiTheme="minorHAnsi" w:eastAsiaTheme="minorHAnsi" w:hAnsiTheme="minorHAnsi" w:cstheme="minorHAnsi"/>
          <w:i/>
          <w:iCs/>
          <w:kern w:val="2"/>
          <w:lang w:eastAsia="en-US"/>
          <w14:ligatures w14:val="standardContextual"/>
        </w:rPr>
        <w:t>Committee of Experts</w:t>
      </w:r>
      <w:r w:rsidRPr="00EE361A">
        <w:rPr>
          <w:rFonts w:asciiTheme="minorHAnsi" w:eastAsiaTheme="minorHAnsi" w:hAnsiTheme="minorHAnsi" w:cstheme="minorHAnsi"/>
          <w:kern w:val="2"/>
          <w:lang w:eastAsia="en-US"/>
          <w14:ligatures w14:val="standardContextual"/>
        </w:rPr>
        <w:t>), which provided continuous epidemiological guidance and served as the public face of scientific authority (Exadaktylos &amp; Chatzopoulou 2022; Zahariadis et al. 2021). This was vital for both health and communication strategies, particularly in a country where trust in government is traditionally low, but confidence in medical professionals remains high (Exadaktylos and Chatzopoulou, 2022; Zahariadis et al., 2021). The Committee legitimised government actions framing them as evidence-based rather than political; however, the government at times disregarded its recommendations or deflected responsibility onto it. These tensions complicated effective communication and raised concerns about crisis management, especially when decisions diverged from expert advice (Ladi et al., 2022).</w:t>
      </w:r>
    </w:p>
    <w:p w14:paraId="6EB1228C"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1C873691"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 xml:space="preserve">The second issue concerned media independence during the lockdown (Papadopoulou &amp; Maniou, 2021; Grahn et al., 2020). The government was accused of manipulating the information flow through funding pro-government media via the </w:t>
      </w:r>
      <w:r w:rsidRPr="00EE361A">
        <w:rPr>
          <w:rFonts w:asciiTheme="minorHAnsi" w:eastAsiaTheme="minorHAnsi" w:hAnsiTheme="minorHAnsi" w:cstheme="minorHAnsi"/>
          <w:i/>
          <w:iCs/>
          <w:kern w:val="2"/>
          <w:lang w:eastAsia="en-US"/>
          <w14:ligatures w14:val="standardContextual"/>
        </w:rPr>
        <w:t>'We Stay Home'</w:t>
      </w:r>
      <w:r w:rsidRPr="00EE361A">
        <w:rPr>
          <w:rFonts w:asciiTheme="minorHAnsi" w:eastAsiaTheme="minorHAnsi" w:hAnsiTheme="minorHAnsi" w:cstheme="minorHAnsi"/>
          <w:kern w:val="2"/>
          <w:lang w:eastAsia="en-US"/>
          <w14:ligatures w14:val="standardContextual"/>
        </w:rPr>
        <w:t xml:space="preserve"> campaign (Karyotakis, 2024; Ladi et al., 2022). This so-called 'Petsas List' allocated €20 million in public funds, with less than one per cent allocated to opposition media (The Press Project, 2021). The incident damaged trust in both media and government (Massou et al., 2023), prompting criticism from the European Parliament (2024) regarding rule of law and media freedom. Limited oversight further raised concerns about accountability, as violations of lockdown rules by senior officials—including the prime minister—received minimal media scrutiny (Alexopoulou &amp; Pavli, 2021; Albanis, 2020). </w:t>
      </w:r>
    </w:p>
    <w:p w14:paraId="0A452D20"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1AE0CCF0"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3D22E263" w14:textId="77777777" w:rsidR="00F80B69" w:rsidRPr="00EE361A" w:rsidRDefault="00F80B69" w:rsidP="00F80B69">
      <w:pPr>
        <w:jc w:val="both"/>
        <w:rPr>
          <w:rFonts w:asciiTheme="minorHAnsi" w:eastAsiaTheme="minorHAnsi" w:hAnsiTheme="minorHAnsi" w:cstheme="minorHAnsi"/>
          <w:b/>
          <w:bCs/>
          <w:i/>
          <w:kern w:val="2"/>
          <w:lang w:eastAsia="en-US"/>
          <w14:ligatures w14:val="standardContextual"/>
        </w:rPr>
      </w:pPr>
      <w:r w:rsidRPr="00EE361A">
        <w:rPr>
          <w:rFonts w:asciiTheme="minorHAnsi" w:eastAsiaTheme="majorEastAsia" w:hAnsiTheme="minorHAnsi" w:cstheme="minorHAnsi"/>
          <w:i/>
          <w:color w:val="0F4761" w:themeColor="accent1" w:themeShade="BF"/>
          <w:kern w:val="2"/>
          <w:lang w:eastAsia="en-US"/>
          <w14:ligatures w14:val="standardContextual"/>
        </w:rPr>
        <w:t>First Phase: Centralised Response, Lockdown and Initial Consensus (February – May 2020</w:t>
      </w:r>
      <w:r w:rsidRPr="00EE361A">
        <w:rPr>
          <w:rFonts w:asciiTheme="minorHAnsi" w:eastAsiaTheme="minorHAnsi" w:hAnsiTheme="minorHAnsi" w:cstheme="minorHAnsi"/>
          <w:b/>
          <w:bCs/>
          <w:i/>
          <w:kern w:val="2"/>
          <w:lang w:eastAsia="en-US"/>
          <w14:ligatures w14:val="standardContextual"/>
        </w:rPr>
        <w:t>)</w:t>
      </w:r>
    </w:p>
    <w:p w14:paraId="7E53C993"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6F6915E5"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The first wave of the pandemic in Greece was characterised by a rapid, centralised response in which decision-making authority rested almost exclusively with the executive and the Committee of Experts (Zahariadis et al., 2021). The New Democracy (</w:t>
      </w:r>
      <w:r w:rsidRPr="00EE361A">
        <w:rPr>
          <w:rFonts w:asciiTheme="minorHAnsi" w:eastAsiaTheme="minorHAnsi" w:hAnsiTheme="minorHAnsi" w:cstheme="minorHAnsi"/>
          <w:i/>
          <w:iCs/>
          <w:kern w:val="2"/>
          <w:lang w:eastAsia="en-US"/>
          <w14:ligatures w14:val="standardContextual"/>
        </w:rPr>
        <w:t>ND – Nea Dimocratia</w:t>
      </w:r>
      <w:r w:rsidRPr="00EE361A">
        <w:rPr>
          <w:rFonts w:asciiTheme="minorHAnsi" w:eastAsiaTheme="minorHAnsi" w:hAnsiTheme="minorHAnsi" w:cstheme="minorHAnsi"/>
          <w:kern w:val="2"/>
          <w:lang w:eastAsia="en-US"/>
          <w14:ligatures w14:val="standardContextual"/>
        </w:rPr>
        <w:t>) government imposed a nationwide lockdown on 23 March 2020, when only 76 cases had been confirmed (Bamias et al., 2020). Policies and communication were tightly coordinated: the “We Stay Home” campaign promoted civic duty and collective responsibility, while daily briefings by Professor Sotiris Tsiodras</w:t>
      </w:r>
      <w:r w:rsidRPr="00EE361A">
        <w:rPr>
          <w:rStyle w:val="Rimandonotaapidipagina"/>
          <w:rFonts w:asciiTheme="minorHAnsi" w:eastAsiaTheme="minorHAnsi" w:hAnsiTheme="minorHAnsi" w:cstheme="minorHAnsi"/>
          <w:kern w:val="2"/>
          <w:lang w:eastAsia="en-US"/>
          <w14:ligatures w14:val="standardContextual"/>
        </w:rPr>
        <w:footnoteReference w:id="10"/>
      </w:r>
      <w:r w:rsidRPr="00EE361A">
        <w:rPr>
          <w:rFonts w:asciiTheme="minorHAnsi" w:eastAsiaTheme="minorHAnsi" w:hAnsiTheme="minorHAnsi" w:cstheme="minorHAnsi"/>
          <w:kern w:val="2"/>
          <w:lang w:eastAsia="en-US"/>
          <w14:ligatures w14:val="standardContextual"/>
        </w:rPr>
        <w:t xml:space="preserve"> combined scientific explanation with moral appeals to protect the vulnerable. Despite shortages in medical equipment and hospital capacity</w:t>
      </w:r>
      <w:r w:rsidRPr="00EE361A">
        <w:rPr>
          <w:rFonts w:asciiTheme="minorHAnsi" w:eastAsiaTheme="minorHAnsi" w:hAnsiTheme="minorHAnsi" w:cstheme="minorHAnsi"/>
          <w:kern w:val="2"/>
          <w:vertAlign w:val="superscript"/>
          <w:lang w:eastAsia="en-US"/>
          <w14:ligatures w14:val="standardContextual"/>
        </w:rPr>
        <w:footnoteReference w:id="11"/>
      </w:r>
      <w:r w:rsidRPr="00EE361A">
        <w:rPr>
          <w:rFonts w:asciiTheme="minorHAnsi" w:eastAsiaTheme="minorHAnsi" w:hAnsiTheme="minorHAnsi" w:cstheme="minorHAnsi"/>
          <w:kern w:val="2"/>
          <w:lang w:eastAsia="en-US"/>
          <w14:ligatures w14:val="standardContextual"/>
        </w:rPr>
        <w:t xml:space="preserve">, this preventive strategy proved effective as by 30 June 2020, Greece had recorded only 192 deaths, among the lowest in Europe (Worldometer 2025). International coverage portrayed the country as a “success story” in pandemic management (Chatzopoulou &amp; Exadaktylos 2021; Ladi et al. 2022). </w:t>
      </w:r>
    </w:p>
    <w:p w14:paraId="2D79D805"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36610BF6" w14:textId="6AFCBD46"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lastRenderedPageBreak/>
        <w:t>Politically, the government’s communication fostered a temporary Coalition of Responsibility: opposition parties, including SYRIZA (</w:t>
      </w:r>
      <w:r w:rsidRPr="00EE361A">
        <w:rPr>
          <w:rFonts w:asciiTheme="minorHAnsi" w:eastAsiaTheme="minorHAnsi" w:hAnsiTheme="minorHAnsi" w:cstheme="minorHAnsi"/>
          <w:i/>
          <w:iCs/>
          <w:kern w:val="2"/>
          <w:lang w:eastAsia="en-US"/>
          <w14:ligatures w14:val="standardContextual"/>
        </w:rPr>
        <w:t>Synaspismos Rizospastikis Aristeras- Coalition of Radical Left</w:t>
      </w:r>
      <w:r w:rsidRPr="00EE361A">
        <w:rPr>
          <w:rFonts w:asciiTheme="minorHAnsi" w:eastAsiaTheme="minorHAnsi" w:hAnsiTheme="minorHAnsi" w:cstheme="minorHAnsi"/>
          <w:kern w:val="2"/>
          <w:lang w:eastAsia="en-US"/>
          <w14:ligatures w14:val="standardContextual"/>
        </w:rPr>
        <w:t>), supported the emergency measures during the first wave (Exadaktylos &amp; Chatzopoulou 2022; Katsa</w:t>
      </w:r>
      <w:r w:rsidR="00C55637" w:rsidRPr="00EE361A">
        <w:rPr>
          <w:rFonts w:asciiTheme="minorHAnsi" w:eastAsiaTheme="minorHAnsi" w:hAnsiTheme="minorHAnsi" w:cstheme="minorHAnsi"/>
          <w:kern w:val="2"/>
          <w:lang w:eastAsia="en-US"/>
          <w14:ligatures w14:val="standardContextual"/>
        </w:rPr>
        <w:t>mp</w:t>
      </w:r>
      <w:r w:rsidRPr="00EE361A">
        <w:rPr>
          <w:rFonts w:asciiTheme="minorHAnsi" w:eastAsiaTheme="minorHAnsi" w:hAnsiTheme="minorHAnsi" w:cstheme="minorHAnsi"/>
          <w:kern w:val="2"/>
          <w:lang w:eastAsia="en-US"/>
          <w14:ligatures w14:val="standardContextual"/>
        </w:rPr>
        <w:t>ekis &amp; Stavrakakis 2020). Only fringe actors such as Greek Solution Party (</w:t>
      </w:r>
      <w:r w:rsidRPr="00EE361A">
        <w:rPr>
          <w:rFonts w:asciiTheme="minorHAnsi" w:eastAsiaTheme="minorHAnsi" w:hAnsiTheme="minorHAnsi" w:cstheme="minorHAnsi"/>
          <w:i/>
          <w:iCs/>
          <w:kern w:val="2"/>
          <w:lang w:eastAsia="en-US"/>
          <w14:ligatures w14:val="standardContextual"/>
        </w:rPr>
        <w:t>Elliniki Lysi</w:t>
      </w:r>
      <w:r w:rsidRPr="00EE361A">
        <w:rPr>
          <w:rFonts w:asciiTheme="minorHAnsi" w:eastAsiaTheme="minorHAnsi" w:hAnsiTheme="minorHAnsi" w:cstheme="minorHAnsi"/>
          <w:kern w:val="2"/>
          <w:lang w:eastAsia="en-US"/>
          <w14:ligatures w14:val="standardContextual"/>
        </w:rPr>
        <w:t>) questioned expert advice or circulated sceptical narratives (Alexopoulou &amp; Pavli 2021). In online and social media, public claims centred on economic concerns rather than opposition to restrictions. Overall, media sources largely echoed official appeals for solidarity, producing limited contestation and broad communicative alignment between politicians, scientists, and society.</w:t>
      </w:r>
    </w:p>
    <w:p w14:paraId="4414B588"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69850216"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2EAE0479" w14:textId="77777777" w:rsidR="00F80B69" w:rsidRPr="00EE361A" w:rsidRDefault="00F80B69" w:rsidP="00F80B69">
      <w:pPr>
        <w:jc w:val="both"/>
        <w:rPr>
          <w:rFonts w:asciiTheme="minorHAnsi" w:eastAsiaTheme="majorEastAsia" w:hAnsiTheme="minorHAnsi" w:cstheme="minorHAnsi"/>
          <w:i/>
          <w:color w:val="0F4761" w:themeColor="accent1" w:themeShade="BF"/>
          <w:kern w:val="2"/>
          <w:lang w:eastAsia="en-US"/>
          <w14:ligatures w14:val="standardContextual"/>
        </w:rPr>
      </w:pPr>
      <w:r w:rsidRPr="00EE361A">
        <w:rPr>
          <w:rFonts w:asciiTheme="minorHAnsi" w:eastAsiaTheme="majorEastAsia" w:hAnsiTheme="minorHAnsi" w:cstheme="minorHAnsi"/>
          <w:i/>
          <w:color w:val="0F4761" w:themeColor="accent1" w:themeShade="BF"/>
          <w:kern w:val="2"/>
          <w:lang w:eastAsia="en-US"/>
          <w14:ligatures w14:val="standardContextual"/>
        </w:rPr>
        <w:t>Second Phase: The Accordion Strategy and Rising Contestation (October 2020 – May  2021)</w:t>
      </w:r>
    </w:p>
    <w:p w14:paraId="64EE60CF"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2804D0A6"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As restrictions eased after the first lockdown, the government sought to balance health protection and economic revival, particularly in the tourism sector (Chatzopoulou &amp; Exadaktylos 2021). From autumn 2020, new infection waves forced Greece into a second phase of pandemic management, defined by the “</w:t>
      </w:r>
      <w:r w:rsidRPr="00EE361A">
        <w:rPr>
          <w:rFonts w:asciiTheme="minorHAnsi" w:eastAsiaTheme="minorHAnsi" w:hAnsiTheme="minorHAnsi" w:cstheme="minorHAnsi"/>
          <w:i/>
          <w:iCs/>
          <w:kern w:val="2"/>
          <w:lang w:eastAsia="en-US"/>
          <w14:ligatures w14:val="standardContextual"/>
        </w:rPr>
        <w:t>accordion strategy</w:t>
      </w:r>
      <w:r w:rsidRPr="00EE361A">
        <w:rPr>
          <w:rFonts w:asciiTheme="minorHAnsi" w:eastAsiaTheme="minorHAnsi" w:hAnsiTheme="minorHAnsi" w:cstheme="minorHAnsi"/>
          <w:kern w:val="2"/>
          <w:lang w:eastAsia="en-US"/>
          <w14:ligatures w14:val="standardContextual"/>
        </w:rPr>
        <w:t>” — the alternation between reopening and renewed restrictions (Ladi et al., 2022). Periodic relaxations for holidays and social gatherings were intended to relieve psychological pressure, yet the approach quickly revealed its limits.</w:t>
      </w:r>
    </w:p>
    <w:p w14:paraId="5BC535E9" w14:textId="77777777" w:rsidR="00F80B69" w:rsidRPr="00EE361A" w:rsidRDefault="00F80B69" w:rsidP="00F80B69">
      <w:pPr>
        <w:jc w:val="both"/>
        <w:rPr>
          <w:rFonts w:ascii="-webkit-standard" w:hAnsi="-webkit-standard"/>
          <w:color w:val="000000"/>
          <w:sz w:val="27"/>
          <w:szCs w:val="27"/>
        </w:rPr>
      </w:pPr>
    </w:p>
    <w:p w14:paraId="37B22208"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By November 2020, active cases had surpassed 25,000, prompting a second nationwide lockdown. At a press briefing, Professor Tsiodras warned that “the pandemic in Greece is out of control.” Mortality rose steeply—from fewer than 500 deaths in September 2020 to 15,000 by spring 2021 and 21,000 by December 2021 (National Public Health Organization 2021). According to the World Health Organisation (2025), deaths per million increased from 6.34 on 6 October 2020 to 133.11 on 12 December 2020, compared with an EU-27 average of 120.13. In early 2021, the Greek government launched its vaccination programme, initially targeting healthcare workers before expanding to vulnerable groups, including the elderly.</w:t>
      </w:r>
    </w:p>
    <w:p w14:paraId="47D06672"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20F6FF94" w14:textId="4FF7B6F8"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During this phase, the initial consensus fractured. Contestation emerged around the Orthodox Church’s defiance of restrictions and the introduction of mandatory vaccination for healthcare workers (Markaki &amp; Chadjipadelis 2023; Zestanakis 2023). The second lockdown’s severity, compounded by economic fallout, policy failures, and worsening epidemiological indicators, led to declining public trust (Papathanas</w:t>
      </w:r>
      <w:r w:rsidR="00871E45" w:rsidRPr="00EE361A">
        <w:rPr>
          <w:rFonts w:asciiTheme="minorHAnsi" w:eastAsiaTheme="minorHAnsi" w:hAnsiTheme="minorHAnsi" w:cstheme="minorHAnsi"/>
          <w:kern w:val="2"/>
          <w:lang w:eastAsia="en-US"/>
          <w14:ligatures w14:val="standardContextual"/>
        </w:rPr>
        <w:t>s</w:t>
      </w:r>
      <w:r w:rsidRPr="00EE361A">
        <w:rPr>
          <w:rFonts w:asciiTheme="minorHAnsi" w:eastAsiaTheme="minorHAnsi" w:hAnsiTheme="minorHAnsi" w:cstheme="minorHAnsi"/>
          <w:kern w:val="2"/>
          <w:lang w:eastAsia="en-US"/>
          <w14:ligatures w14:val="standardContextual"/>
        </w:rPr>
        <w:t>opoulos et al., 2022).  Societal reactions shifted from fear and compliance (Demertzis 2020) to vocal opposition and acts of disobedience, ranging from everyday scepticism to conspiracy-driven activism (Della Porta 2023; Exadaktylos &amp; Chatzopoulou 2022).</w:t>
      </w:r>
    </w:p>
    <w:p w14:paraId="3EB79447"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23C03486"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 xml:space="preserve">The government’s communication strategy continued to invoke unity and sacrifice (Poulakidakos 2021; Zahariadis et al. 2021), but its effectiveness weakened as contestation spread. Pre-existing skepticism toward media </w:t>
      </w:r>
      <w:r w:rsidRPr="00EE361A">
        <w:rPr>
          <w:rFonts w:asciiTheme="minorHAnsi" w:eastAsiaTheme="minorHAnsi" w:hAnsiTheme="minorHAnsi" w:cstheme="minorHAnsi"/>
          <w:kern w:val="2"/>
          <w:lang w:eastAsia="en-US"/>
          <w14:ligatures w14:val="standardContextual"/>
        </w:rPr>
        <w:lastRenderedPageBreak/>
        <w:t>(Eurobarometer</w:t>
      </w:r>
      <w:r w:rsidRPr="00EE361A">
        <w:rPr>
          <w:rStyle w:val="Rimandonotaapidipagina"/>
          <w:rFonts w:asciiTheme="minorHAnsi" w:eastAsiaTheme="minorHAnsi" w:hAnsiTheme="minorHAnsi" w:cstheme="minorHAnsi"/>
          <w:kern w:val="2"/>
          <w:lang w:eastAsia="en-US"/>
          <w14:ligatures w14:val="standardContextual"/>
        </w:rPr>
        <w:footnoteReference w:id="12"/>
      </w:r>
      <w:r w:rsidRPr="00EE361A">
        <w:rPr>
          <w:rFonts w:asciiTheme="minorHAnsi" w:eastAsiaTheme="minorHAnsi" w:hAnsiTheme="minorHAnsi" w:cstheme="minorHAnsi"/>
          <w:kern w:val="2"/>
          <w:lang w:eastAsia="en-US"/>
          <w14:ligatures w14:val="standardContextual"/>
        </w:rPr>
        <w:t xml:space="preserve"> 2010, 2016) complicated official messaging, particularly amid controversy over the “Petsas List” (Massou et al., 2023). Media framing became increasingly fragmented, while opposition discourse—though still cautious—grew more assertive on issues of accountability and transparency.</w:t>
      </w:r>
    </w:p>
    <w:p w14:paraId="1FABAC28"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17F84C35"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This phase marked the transition from convergence to fragmentation. The communicative alliance between government and experts remained intact but increasingly contested; public debate widened, yet collective mobilisation remained limited. Contestation thus shifted from absent to visible but dispersed—managed primarily through discourse rather than sustained protest.</w:t>
      </w:r>
    </w:p>
    <w:p w14:paraId="2B904048"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57FED861" w14:textId="77777777" w:rsidR="00F80B69" w:rsidRPr="00EE361A" w:rsidRDefault="00F80B69" w:rsidP="00F80B69">
      <w:pPr>
        <w:keepNext/>
        <w:keepLines/>
        <w:spacing w:before="160" w:after="80"/>
        <w:outlineLvl w:val="2"/>
        <w:rPr>
          <w:rFonts w:asciiTheme="minorHAnsi" w:eastAsiaTheme="majorEastAsia" w:hAnsiTheme="minorHAnsi" w:cstheme="minorHAnsi"/>
          <w:i/>
          <w:color w:val="0F4761" w:themeColor="accent1" w:themeShade="BF"/>
          <w:kern w:val="2"/>
          <w:lang w:eastAsia="en-US"/>
          <w14:ligatures w14:val="standardContextual"/>
        </w:rPr>
      </w:pPr>
      <w:r w:rsidRPr="00EE361A">
        <w:rPr>
          <w:rFonts w:asciiTheme="minorHAnsi" w:eastAsiaTheme="majorEastAsia" w:hAnsiTheme="minorHAnsi" w:cstheme="minorHAnsi"/>
          <w:i/>
          <w:color w:val="0F4761" w:themeColor="accent1" w:themeShade="BF"/>
          <w:kern w:val="2"/>
          <w:lang w:eastAsia="en-US"/>
          <w14:ligatures w14:val="standardContextual"/>
        </w:rPr>
        <w:t>Third Phase: Vaccination Rollout, Polarization and Gradual Return to Normalcy (October 2021–December 2022)</w:t>
      </w:r>
    </w:p>
    <w:p w14:paraId="66BFF35A" w14:textId="77777777" w:rsidR="00F80B69" w:rsidRPr="00EE361A" w:rsidRDefault="00F80B69" w:rsidP="00F80B69">
      <w:pPr>
        <w:keepNext/>
        <w:keepLines/>
        <w:spacing w:before="160" w:after="80"/>
        <w:outlineLvl w:val="2"/>
        <w:rPr>
          <w:rFonts w:asciiTheme="minorHAnsi" w:eastAsiaTheme="majorEastAsia" w:hAnsiTheme="minorHAnsi" w:cstheme="minorHAnsi"/>
          <w:i/>
          <w:color w:val="0F4761" w:themeColor="accent1" w:themeShade="BF"/>
          <w:kern w:val="2"/>
          <w:lang w:eastAsia="en-US"/>
          <w14:ligatures w14:val="standardContextual"/>
        </w:rPr>
      </w:pPr>
    </w:p>
    <w:p w14:paraId="6CE7B609"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The third phase was dominated by the nationwide vaccination rollout. From July 2021, vaccination became mandatory, and the Green certificate</w:t>
      </w:r>
      <w:r w:rsidRPr="00EE361A">
        <w:rPr>
          <w:rStyle w:val="Rimandonotaapidipagina"/>
          <w:rFonts w:asciiTheme="minorHAnsi" w:eastAsiaTheme="minorHAnsi" w:hAnsiTheme="minorHAnsi" w:cstheme="minorHAnsi"/>
          <w:kern w:val="2"/>
          <w:lang w:eastAsia="en-US"/>
          <w14:ligatures w14:val="standardContextual"/>
        </w:rPr>
        <w:footnoteReference w:id="13"/>
      </w:r>
      <w:r w:rsidRPr="00EE361A">
        <w:rPr>
          <w:rFonts w:asciiTheme="minorHAnsi" w:eastAsiaTheme="minorHAnsi" w:hAnsiTheme="minorHAnsi" w:cstheme="minorHAnsi"/>
          <w:kern w:val="2"/>
          <w:lang w:eastAsia="en-US"/>
          <w14:ligatures w14:val="standardContextual"/>
        </w:rPr>
        <w:t>  was introduced in Summer 2021 (Giannouli et al., 2024; Vogiatzaki &amp; Nikolopoulou 2021). These measures intensified debates over personal freedom and public health, stimulating the rise of anti-vaccine activism and amplifying polarisation.  Public discourse evolved from generalised cooperation to fragmented contestation. Social media became the main arena for dissent, where sceptical voices, populist actors, and religious organisations circulated alternative narratives. Yet mainstream outlets and government communication continued to emphasise responsibility and collective safety, preserving a dominant frame of moral obligation and technocratic necessity (Exadaktylos &amp; Chatzopoulou 2022; Massou et al., 2023).</w:t>
      </w:r>
    </w:p>
    <w:p w14:paraId="103F5828"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6925A4C3" w14:textId="7CF60EE0" w:rsidR="00F80B69" w:rsidRPr="00EE361A" w:rsidRDefault="00F80B69" w:rsidP="00F80B69">
      <w:pPr>
        <w:jc w:val="both"/>
        <w:rPr>
          <w:rFonts w:asciiTheme="minorHAnsi" w:eastAsiaTheme="minorHAnsi" w:hAnsiTheme="minorHAnsi" w:cstheme="minorHAnsi"/>
          <w:kern w:val="2"/>
          <w:lang w:eastAsia="en-US"/>
          <w14:ligatures w14:val="standardContextual"/>
        </w:rPr>
      </w:pPr>
      <w:r w:rsidRPr="00EE361A">
        <w:rPr>
          <w:rFonts w:asciiTheme="minorHAnsi" w:eastAsiaTheme="minorHAnsi" w:hAnsiTheme="minorHAnsi" w:cstheme="minorHAnsi"/>
          <w:kern w:val="2"/>
          <w:lang w:eastAsia="en-US"/>
          <w14:ligatures w14:val="standardContextual"/>
        </w:rPr>
        <w:t>During this phase, the broader discourse shifted from a unified global emergency to a national struggle over competence and accountability (Minotakis &amp; Tastsoglou 2023). Studies highlight how communication missteps and pandemic fatigue contributed to the widening gap between official narratives and public sentiment (Papathana</w:t>
      </w:r>
      <w:r w:rsidR="00871E45" w:rsidRPr="00EE361A">
        <w:rPr>
          <w:rFonts w:asciiTheme="minorHAnsi" w:eastAsiaTheme="minorHAnsi" w:hAnsiTheme="minorHAnsi" w:cstheme="minorHAnsi"/>
          <w:kern w:val="2"/>
          <w:lang w:eastAsia="en-US"/>
          <w14:ligatures w14:val="standardContextual"/>
        </w:rPr>
        <w:t>s</w:t>
      </w:r>
      <w:r w:rsidRPr="00EE361A">
        <w:rPr>
          <w:rFonts w:asciiTheme="minorHAnsi" w:eastAsiaTheme="minorHAnsi" w:hAnsiTheme="minorHAnsi" w:cstheme="minorHAnsi"/>
          <w:kern w:val="2"/>
          <w:lang w:eastAsia="en-US"/>
          <w14:ligatures w14:val="standardContextual"/>
        </w:rPr>
        <w:t>sopoulos et al., 2022; Tsouvelas et al., 2023). Still, opposition remained fragmented, and most contestation was mediated rather than mobilised. By mid-2022, following the lifting of indoor mask mandates, public attention turned toward the social and economic aftermath of the crisis. This phase thus consolidated a pattern first visible in late 2020: contestation persisted but remained contained within the communicative sphere. The pandemic concluded as a moment of managed dissent, where polarisation intensified but collective resistance failed to materialise.</w:t>
      </w:r>
    </w:p>
    <w:p w14:paraId="50ADDB79"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0D00D967" w14:textId="77777777" w:rsidR="00F80B69" w:rsidRPr="00EE361A" w:rsidRDefault="00F80B69" w:rsidP="00F80B69">
      <w:pPr>
        <w:jc w:val="both"/>
        <w:rPr>
          <w:rFonts w:asciiTheme="minorHAnsi" w:eastAsiaTheme="minorHAnsi" w:hAnsiTheme="minorHAnsi" w:cstheme="minorHAnsi"/>
          <w:kern w:val="2"/>
          <w:lang w:eastAsia="en-US"/>
          <w14:ligatures w14:val="standardContextual"/>
        </w:rPr>
      </w:pPr>
    </w:p>
    <w:p w14:paraId="7694E3D6" w14:textId="77777777" w:rsidR="0084529A" w:rsidRPr="00EE361A" w:rsidRDefault="0084529A" w:rsidP="009247F0">
      <w:pPr>
        <w:rPr>
          <w:rFonts w:asciiTheme="minorHAnsi" w:hAnsiTheme="minorHAnsi" w:cstheme="minorHAnsi"/>
        </w:rPr>
      </w:pPr>
    </w:p>
    <w:p w14:paraId="596FC513" w14:textId="77777777" w:rsidR="0084529A" w:rsidRPr="00EE361A" w:rsidRDefault="0084529A" w:rsidP="0084529A">
      <w:pPr>
        <w:jc w:val="both"/>
        <w:rPr>
          <w:rFonts w:asciiTheme="minorHAnsi" w:eastAsiaTheme="majorEastAsia" w:hAnsiTheme="minorHAnsi" w:cstheme="minorHAnsi"/>
          <w:color w:val="0F4761" w:themeColor="accent1" w:themeShade="BF"/>
          <w:kern w:val="2"/>
          <w:sz w:val="40"/>
          <w:szCs w:val="40"/>
          <w:lang w:eastAsia="en-US"/>
          <w14:ligatures w14:val="standardContextual"/>
        </w:rPr>
      </w:pPr>
      <w:r w:rsidRPr="00EE361A">
        <w:rPr>
          <w:rFonts w:asciiTheme="minorHAnsi" w:eastAsiaTheme="majorEastAsia" w:hAnsiTheme="minorHAnsi" w:cstheme="minorHAnsi"/>
          <w:color w:val="0F4761" w:themeColor="accent1" w:themeShade="BF"/>
          <w:kern w:val="2"/>
          <w:sz w:val="40"/>
          <w:szCs w:val="40"/>
          <w:lang w:eastAsia="en-US"/>
          <w14:ligatures w14:val="standardContextual"/>
        </w:rPr>
        <w:t>Covid-19 Crisis Debate in Greek Online Media, Social Media, and Expert Interviews</w:t>
      </w:r>
    </w:p>
    <w:p w14:paraId="2FE85F2B" w14:textId="77777777" w:rsidR="0084529A" w:rsidRPr="00EE361A" w:rsidRDefault="0084529A" w:rsidP="0084529A">
      <w:pPr>
        <w:jc w:val="both"/>
        <w:rPr>
          <w:rFonts w:asciiTheme="minorHAnsi" w:hAnsiTheme="minorHAnsi" w:cstheme="minorHAnsi"/>
        </w:rPr>
      </w:pPr>
    </w:p>
    <w:p w14:paraId="0097B25E" w14:textId="39B61333"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This section presents the study’s findings across three empirical components. It first </w:t>
      </w:r>
      <w:r w:rsidR="004A2DDD" w:rsidRPr="00EE361A">
        <w:rPr>
          <w:rFonts w:asciiTheme="minorHAnsi" w:hAnsiTheme="minorHAnsi" w:cstheme="minorHAnsi"/>
        </w:rPr>
        <w:t xml:space="preserve">introduces the phases of contention of Covid-19 crisis management as a baseline for the </w:t>
      </w:r>
      <w:r w:rsidRPr="00EE361A">
        <w:rPr>
          <w:rFonts w:asciiTheme="minorHAnsi" w:hAnsiTheme="minorHAnsi" w:cstheme="minorHAnsi"/>
        </w:rPr>
        <w:t>analys</w:t>
      </w:r>
      <w:r w:rsidR="004A2DDD" w:rsidRPr="00EE361A">
        <w:rPr>
          <w:rFonts w:asciiTheme="minorHAnsi" w:hAnsiTheme="minorHAnsi" w:cstheme="minorHAnsi"/>
        </w:rPr>
        <w:t>is of</w:t>
      </w:r>
      <w:r w:rsidRPr="00EE361A">
        <w:rPr>
          <w:rFonts w:asciiTheme="minorHAnsi" w:hAnsiTheme="minorHAnsi" w:cstheme="minorHAnsi"/>
        </w:rPr>
        <w:t xml:space="preserve"> online news media</w:t>
      </w:r>
      <w:r w:rsidR="004A2DDD" w:rsidRPr="00EE361A">
        <w:rPr>
          <w:rFonts w:asciiTheme="minorHAnsi" w:hAnsiTheme="minorHAnsi" w:cstheme="minorHAnsi"/>
        </w:rPr>
        <w:t xml:space="preserve"> coverage</w:t>
      </w:r>
      <w:r w:rsidRPr="00EE361A">
        <w:rPr>
          <w:rFonts w:asciiTheme="minorHAnsi" w:hAnsiTheme="minorHAnsi" w:cstheme="minorHAnsi"/>
        </w:rPr>
        <w:t>. It then examines Facebook comments to capture citizens’ responses of support, critique, and resistance. Finally, it draws on interviews with policymakers, scientists, and journalists, offering qualitative insight into communication strategies, trust, and the interplay between top-down and bottom-up contestation.</w:t>
      </w:r>
    </w:p>
    <w:p w14:paraId="39FF8582" w14:textId="77777777" w:rsidR="004A2DDD" w:rsidRPr="00EE361A" w:rsidRDefault="004A2DDD" w:rsidP="0084529A">
      <w:pPr>
        <w:jc w:val="both"/>
        <w:rPr>
          <w:rFonts w:asciiTheme="minorHAnsi" w:hAnsiTheme="minorHAnsi" w:cstheme="minorHAnsi"/>
        </w:rPr>
      </w:pPr>
    </w:p>
    <w:p w14:paraId="56A26709" w14:textId="28B4A09F" w:rsidR="0084529A" w:rsidRPr="00EE361A" w:rsidRDefault="0084529A" w:rsidP="0084529A">
      <w:pPr>
        <w:pStyle w:val="Titolo2"/>
        <w:rPr>
          <w:rFonts w:asciiTheme="minorHAnsi" w:hAnsiTheme="minorHAnsi" w:cstheme="minorHAnsi"/>
        </w:rPr>
      </w:pPr>
      <w:r w:rsidRPr="00EE361A">
        <w:rPr>
          <w:rFonts w:asciiTheme="minorHAnsi" w:hAnsiTheme="minorHAnsi" w:cstheme="minorHAnsi"/>
        </w:rPr>
        <w:t xml:space="preserve">Political contestation in Online </w:t>
      </w:r>
      <w:r w:rsidR="004A2DDD" w:rsidRPr="00EE361A">
        <w:rPr>
          <w:rFonts w:asciiTheme="minorHAnsi" w:hAnsiTheme="minorHAnsi" w:cstheme="minorHAnsi"/>
        </w:rPr>
        <w:t xml:space="preserve">News </w:t>
      </w:r>
      <w:r w:rsidRPr="00EE361A">
        <w:rPr>
          <w:rFonts w:asciiTheme="minorHAnsi" w:hAnsiTheme="minorHAnsi" w:cstheme="minorHAnsi"/>
        </w:rPr>
        <w:t>Outlets</w:t>
      </w:r>
    </w:p>
    <w:p w14:paraId="2F57A887" w14:textId="77777777" w:rsidR="0084529A" w:rsidRPr="00EE361A" w:rsidRDefault="0084529A" w:rsidP="0084529A">
      <w:pPr>
        <w:jc w:val="both"/>
        <w:rPr>
          <w:rFonts w:asciiTheme="minorHAnsi" w:hAnsiTheme="minorHAnsi" w:cstheme="minorHAnsi"/>
        </w:rPr>
      </w:pPr>
    </w:p>
    <w:p w14:paraId="50E90355" w14:textId="06A5AFAC"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The analysis of Greek online media during the pandemic reveals a predominant </w:t>
      </w:r>
      <w:r w:rsidR="00D20D06" w:rsidRPr="00EE361A">
        <w:rPr>
          <w:rFonts w:asciiTheme="minorHAnsi" w:hAnsiTheme="minorHAnsi" w:cstheme="minorHAnsi"/>
        </w:rPr>
        <w:t xml:space="preserve">concentration </w:t>
      </w:r>
      <w:r w:rsidRPr="00EE361A">
        <w:rPr>
          <w:rFonts w:asciiTheme="minorHAnsi" w:hAnsiTheme="minorHAnsi" w:cstheme="minorHAnsi"/>
        </w:rPr>
        <w:t>of state authorities and health-related actors as senders of political claims (</w:t>
      </w:r>
      <w:r w:rsidR="00742AA7" w:rsidRPr="00EE361A">
        <w:rPr>
          <w:rFonts w:asciiTheme="minorHAnsi" w:hAnsiTheme="minorHAnsi" w:cstheme="minorHAnsi"/>
        </w:rPr>
        <w:t xml:space="preserve">see </w:t>
      </w:r>
      <w:r w:rsidRPr="00EE361A">
        <w:rPr>
          <w:rFonts w:asciiTheme="minorHAnsi" w:hAnsiTheme="minorHAnsi" w:cstheme="minorHAnsi"/>
        </w:rPr>
        <w:t xml:space="preserve">Table 1). Overall, 49 per cent of claims were made by state actors, confirming a strong executive </w:t>
      </w:r>
      <w:r w:rsidR="00D20D06" w:rsidRPr="00EE361A">
        <w:rPr>
          <w:rFonts w:asciiTheme="minorHAnsi" w:hAnsiTheme="minorHAnsi" w:cstheme="minorHAnsi"/>
        </w:rPr>
        <w:t xml:space="preserve">dominance </w:t>
      </w:r>
      <w:r w:rsidRPr="00EE361A">
        <w:rPr>
          <w:rFonts w:asciiTheme="minorHAnsi" w:hAnsiTheme="minorHAnsi" w:cstheme="minorHAnsi"/>
        </w:rPr>
        <w:t>in public discourse. This concentration of official voices reproduces pattern</w:t>
      </w:r>
      <w:r w:rsidR="00D20D06" w:rsidRPr="00EE361A">
        <w:rPr>
          <w:rFonts w:asciiTheme="minorHAnsi" w:hAnsiTheme="minorHAnsi" w:cstheme="minorHAnsi"/>
        </w:rPr>
        <w:t>s</w:t>
      </w:r>
      <w:r w:rsidRPr="00EE361A">
        <w:rPr>
          <w:rFonts w:asciiTheme="minorHAnsi" w:hAnsiTheme="minorHAnsi" w:cstheme="minorHAnsi"/>
        </w:rPr>
        <w:t xml:space="preserve"> observed in previous Greek crises, where government representatives dominated emergency communication. Health-related actors accounted for 17 per cent of claims. The share of governmental and scientific senders remained consistently high across all three periods, while other senders’ voices </w:t>
      </w:r>
      <w:r w:rsidR="00D20D06" w:rsidRPr="00EE361A">
        <w:rPr>
          <w:rFonts w:asciiTheme="minorHAnsi" w:hAnsiTheme="minorHAnsi" w:cstheme="minorHAnsi"/>
        </w:rPr>
        <w:t>remained</w:t>
      </w:r>
      <w:r w:rsidRPr="00EE361A">
        <w:rPr>
          <w:rFonts w:asciiTheme="minorHAnsi" w:hAnsiTheme="minorHAnsi" w:cstheme="minorHAnsi"/>
        </w:rPr>
        <w:t xml:space="preserve"> marginal. </w:t>
      </w:r>
    </w:p>
    <w:p w14:paraId="34A35CFF" w14:textId="77777777" w:rsidR="00D20D06" w:rsidRPr="00EE361A" w:rsidRDefault="00D20D06" w:rsidP="0084529A">
      <w:pPr>
        <w:jc w:val="both"/>
        <w:rPr>
          <w:rFonts w:ascii="-webkit-standard" w:hAnsi="-webkit-standard"/>
          <w:color w:val="000000"/>
          <w:sz w:val="27"/>
          <w:szCs w:val="27"/>
        </w:rPr>
      </w:pPr>
    </w:p>
    <w:p w14:paraId="0A02079B" w14:textId="1FA5D695" w:rsidR="0084529A" w:rsidRPr="00EE361A" w:rsidRDefault="0084529A" w:rsidP="0084529A">
      <w:pPr>
        <w:jc w:val="both"/>
        <w:rPr>
          <w:rFonts w:asciiTheme="minorHAnsi" w:hAnsiTheme="minorHAnsi" w:cstheme="minorHAnsi"/>
        </w:rPr>
      </w:pPr>
      <w:r w:rsidRPr="00EE361A">
        <w:rPr>
          <w:rFonts w:asciiTheme="minorHAnsi" w:hAnsiTheme="minorHAnsi" w:cstheme="minorHAnsi"/>
        </w:rPr>
        <w:t>By contrast, economic actors accounted for only 8 per cent of claims, despite being among the sectors most affected by restrictions.  Similarly, political actors</w:t>
      </w:r>
      <w:r w:rsidR="00B03F4F" w:rsidRPr="00EE361A">
        <w:rPr>
          <w:rFonts w:asciiTheme="minorHAnsi" w:hAnsiTheme="minorHAnsi" w:cstheme="minorHAnsi"/>
        </w:rPr>
        <w:t>’</w:t>
      </w:r>
      <w:r w:rsidRPr="00EE361A">
        <w:rPr>
          <w:rFonts w:asciiTheme="minorHAnsi" w:hAnsiTheme="minorHAnsi" w:cstheme="minorHAnsi"/>
        </w:rPr>
        <w:t xml:space="preserve"> presence was marginal, especially during the first phase of the pandemic (5 per cent of claims), regaining </w:t>
      </w:r>
      <w:r w:rsidR="00D20D06" w:rsidRPr="00EE361A">
        <w:rPr>
          <w:rFonts w:asciiTheme="minorHAnsi" w:hAnsiTheme="minorHAnsi" w:cstheme="minorHAnsi"/>
        </w:rPr>
        <w:t xml:space="preserve">only </w:t>
      </w:r>
      <w:r w:rsidRPr="00EE361A">
        <w:rPr>
          <w:rFonts w:asciiTheme="minorHAnsi" w:hAnsiTheme="minorHAnsi" w:cstheme="minorHAnsi"/>
        </w:rPr>
        <w:t xml:space="preserve">limited visibility later (8 per cent in the third period). Societal and civil society actors, represented </w:t>
      </w:r>
      <w:r w:rsidR="00D20D06" w:rsidRPr="00EE361A">
        <w:rPr>
          <w:rFonts w:asciiTheme="minorHAnsi" w:hAnsiTheme="minorHAnsi" w:cstheme="minorHAnsi"/>
        </w:rPr>
        <w:t xml:space="preserve">just </w:t>
      </w:r>
      <w:r w:rsidRPr="00EE361A">
        <w:rPr>
          <w:rFonts w:asciiTheme="minorHAnsi" w:hAnsiTheme="minorHAnsi" w:cstheme="minorHAnsi"/>
        </w:rPr>
        <w:t xml:space="preserve">9 per cent of senders overall, rarely appeared as initiators of contestation. The marginal role of non-governmental and non-scientific senders indicates that pandemic coverage centred on institutional communication, </w:t>
      </w:r>
      <w:r w:rsidR="00F80B69" w:rsidRPr="00EE361A">
        <w:rPr>
          <w:rFonts w:asciiTheme="minorHAnsi" w:hAnsiTheme="minorHAnsi" w:cstheme="minorHAnsi"/>
        </w:rPr>
        <w:t>with limited visibility of alternative voices</w:t>
      </w:r>
      <w:r w:rsidRPr="00EE361A">
        <w:rPr>
          <w:rFonts w:asciiTheme="minorHAnsi" w:hAnsiTheme="minorHAnsi" w:cstheme="minorHAnsi"/>
        </w:rPr>
        <w:t>.</w:t>
      </w:r>
    </w:p>
    <w:p w14:paraId="0AEA86E0" w14:textId="77777777" w:rsidR="0084529A" w:rsidRPr="00EE361A" w:rsidRDefault="0084529A" w:rsidP="0084529A">
      <w:pPr>
        <w:jc w:val="both"/>
        <w:rPr>
          <w:rFonts w:asciiTheme="minorHAnsi" w:hAnsiTheme="minorHAnsi" w:cstheme="minorHAnsi"/>
        </w:rPr>
      </w:pPr>
    </w:p>
    <w:p w14:paraId="6244F060" w14:textId="77777777" w:rsidR="0084529A" w:rsidRPr="00EE361A" w:rsidRDefault="0084529A" w:rsidP="0084529A">
      <w:pPr>
        <w:jc w:val="both"/>
        <w:rPr>
          <w:rFonts w:asciiTheme="minorHAnsi" w:hAnsiTheme="minorHAnsi" w:cstheme="minorHAnsi"/>
        </w:rPr>
      </w:pPr>
    </w:p>
    <w:p w14:paraId="09C68B23" w14:textId="6EF74FAC" w:rsidR="0084529A" w:rsidRPr="00EE361A" w:rsidRDefault="0084529A" w:rsidP="0084529A">
      <w:pPr>
        <w:pStyle w:val="Didascalia"/>
        <w:keepNext/>
        <w:jc w:val="both"/>
        <w:rPr>
          <w:rFonts w:cstheme="minorHAnsi"/>
          <w:sz w:val="24"/>
          <w:szCs w:val="24"/>
        </w:rPr>
      </w:pPr>
      <w:r w:rsidRPr="00EE361A">
        <w:rPr>
          <w:rFonts w:cstheme="minorHAnsi"/>
          <w:sz w:val="24"/>
          <w:szCs w:val="24"/>
        </w:rPr>
        <w:t xml:space="preserve">Table </w:t>
      </w:r>
      <w:r w:rsidRPr="00EE361A">
        <w:rPr>
          <w:rFonts w:cstheme="minorHAnsi"/>
          <w:sz w:val="24"/>
          <w:szCs w:val="24"/>
        </w:rPr>
        <w:fldChar w:fldCharType="begin"/>
      </w:r>
      <w:r w:rsidRPr="00EE361A">
        <w:rPr>
          <w:rFonts w:cstheme="minorHAnsi"/>
          <w:sz w:val="24"/>
          <w:szCs w:val="24"/>
        </w:rPr>
        <w:instrText xml:space="preserve"> SEQ Figure \* ARABIC </w:instrText>
      </w:r>
      <w:r w:rsidRPr="00EE361A">
        <w:rPr>
          <w:rFonts w:cstheme="minorHAnsi"/>
          <w:sz w:val="24"/>
          <w:szCs w:val="24"/>
        </w:rPr>
        <w:fldChar w:fldCharType="separate"/>
      </w:r>
      <w:r w:rsidRPr="00EE361A">
        <w:rPr>
          <w:rFonts w:cstheme="minorHAnsi"/>
          <w:sz w:val="24"/>
          <w:szCs w:val="24"/>
        </w:rPr>
        <w:t>1</w:t>
      </w:r>
      <w:r w:rsidRPr="00EE361A">
        <w:rPr>
          <w:rFonts w:cstheme="minorHAnsi"/>
          <w:sz w:val="24"/>
          <w:szCs w:val="24"/>
        </w:rPr>
        <w:fldChar w:fldCharType="end"/>
      </w:r>
      <w:r w:rsidRPr="00EE361A">
        <w:rPr>
          <w:rFonts w:cstheme="minorHAnsi"/>
          <w:sz w:val="24"/>
          <w:szCs w:val="24"/>
        </w:rPr>
        <w:t xml:space="preserve"> Main Sender Categories per period </w:t>
      </w:r>
    </w:p>
    <w:tbl>
      <w:tblPr>
        <w:tblW w:w="8869" w:type="dxa"/>
        <w:jc w:val="center"/>
        <w:tblLook w:val="04A0" w:firstRow="1" w:lastRow="0" w:firstColumn="1" w:lastColumn="0" w:noHBand="0" w:noVBand="1"/>
      </w:tblPr>
      <w:tblGrid>
        <w:gridCol w:w="3677"/>
        <w:gridCol w:w="1298"/>
        <w:gridCol w:w="1298"/>
        <w:gridCol w:w="1298"/>
        <w:gridCol w:w="1298"/>
      </w:tblGrid>
      <w:tr w:rsidR="0084529A" w:rsidRPr="00EE361A" w14:paraId="5A86F4B2" w14:textId="77777777" w:rsidTr="006C0C76">
        <w:trPr>
          <w:trHeight w:val="134"/>
          <w:jc w:val="center"/>
        </w:trPr>
        <w:tc>
          <w:tcPr>
            <w:tcW w:w="3677" w:type="dxa"/>
            <w:tcBorders>
              <w:top w:val="nil"/>
              <w:left w:val="nil"/>
              <w:bottom w:val="single" w:sz="4" w:space="0" w:color="auto"/>
              <w:right w:val="nil"/>
            </w:tcBorders>
            <w:noWrap/>
            <w:vAlign w:val="center"/>
            <w:hideMark/>
          </w:tcPr>
          <w:p w14:paraId="20D485A6"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Senders Categories</w:t>
            </w:r>
          </w:p>
        </w:tc>
        <w:tc>
          <w:tcPr>
            <w:tcW w:w="1298" w:type="dxa"/>
            <w:tcBorders>
              <w:top w:val="nil"/>
              <w:left w:val="single" w:sz="4" w:space="0" w:color="auto"/>
              <w:bottom w:val="single" w:sz="4" w:space="0" w:color="auto"/>
              <w:right w:val="nil"/>
            </w:tcBorders>
            <w:noWrap/>
            <w:vAlign w:val="center"/>
            <w:hideMark/>
          </w:tcPr>
          <w:p w14:paraId="1417F32B"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1st Period</w:t>
            </w:r>
          </w:p>
        </w:tc>
        <w:tc>
          <w:tcPr>
            <w:tcW w:w="1298" w:type="dxa"/>
            <w:tcBorders>
              <w:top w:val="nil"/>
              <w:left w:val="single" w:sz="4" w:space="0" w:color="auto"/>
              <w:bottom w:val="single" w:sz="4" w:space="0" w:color="auto"/>
              <w:right w:val="nil"/>
            </w:tcBorders>
            <w:noWrap/>
            <w:vAlign w:val="center"/>
            <w:hideMark/>
          </w:tcPr>
          <w:p w14:paraId="75D8857F"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2nd Period</w:t>
            </w:r>
          </w:p>
        </w:tc>
        <w:tc>
          <w:tcPr>
            <w:tcW w:w="1298" w:type="dxa"/>
            <w:tcBorders>
              <w:top w:val="nil"/>
              <w:left w:val="nil"/>
              <w:bottom w:val="single" w:sz="4" w:space="0" w:color="auto"/>
              <w:right w:val="nil"/>
            </w:tcBorders>
            <w:noWrap/>
            <w:vAlign w:val="center"/>
            <w:hideMark/>
          </w:tcPr>
          <w:p w14:paraId="0E8640EA"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 xml:space="preserve">3rd Period </w:t>
            </w:r>
          </w:p>
        </w:tc>
        <w:tc>
          <w:tcPr>
            <w:tcW w:w="1298" w:type="dxa"/>
            <w:tcBorders>
              <w:top w:val="nil"/>
              <w:left w:val="single" w:sz="4" w:space="0" w:color="auto"/>
              <w:bottom w:val="single" w:sz="4" w:space="0" w:color="auto"/>
              <w:right w:val="nil"/>
            </w:tcBorders>
            <w:noWrap/>
            <w:vAlign w:val="center"/>
            <w:hideMark/>
          </w:tcPr>
          <w:p w14:paraId="4F751A83"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Total</w:t>
            </w:r>
          </w:p>
        </w:tc>
      </w:tr>
      <w:tr w:rsidR="0084529A" w:rsidRPr="00EE361A" w14:paraId="48EC66F8" w14:textId="77777777" w:rsidTr="006C0C76">
        <w:trPr>
          <w:trHeight w:val="142"/>
          <w:jc w:val="center"/>
        </w:trPr>
        <w:tc>
          <w:tcPr>
            <w:tcW w:w="3677" w:type="dxa"/>
            <w:tcBorders>
              <w:top w:val="nil"/>
              <w:left w:val="nil"/>
              <w:bottom w:val="nil"/>
              <w:right w:val="nil"/>
            </w:tcBorders>
            <w:vAlign w:val="center"/>
            <w:hideMark/>
          </w:tcPr>
          <w:p w14:paraId="06663A18" w14:textId="77777777" w:rsidR="0084529A" w:rsidRPr="00EE361A" w:rsidRDefault="0084529A" w:rsidP="006C0C76">
            <w:pPr>
              <w:rPr>
                <w:rFonts w:ascii="Calibri" w:hAnsi="Calibri" w:cs="Calibri"/>
                <w:color w:val="000000"/>
              </w:rPr>
            </w:pPr>
            <w:r w:rsidRPr="00EE361A">
              <w:rPr>
                <w:rFonts w:ascii="Calibri" w:hAnsi="Calibri" w:cs="Calibri"/>
                <w:color w:val="000000"/>
              </w:rPr>
              <w:t>State Actors-Authorities</w:t>
            </w:r>
          </w:p>
        </w:tc>
        <w:tc>
          <w:tcPr>
            <w:tcW w:w="1298" w:type="dxa"/>
            <w:tcBorders>
              <w:top w:val="nil"/>
              <w:left w:val="nil"/>
              <w:bottom w:val="nil"/>
              <w:right w:val="nil"/>
            </w:tcBorders>
            <w:vAlign w:val="center"/>
            <w:hideMark/>
          </w:tcPr>
          <w:p w14:paraId="1ACF4DA3"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54%</w:t>
            </w:r>
          </w:p>
        </w:tc>
        <w:tc>
          <w:tcPr>
            <w:tcW w:w="1298" w:type="dxa"/>
            <w:tcBorders>
              <w:top w:val="nil"/>
              <w:left w:val="nil"/>
              <w:bottom w:val="nil"/>
              <w:right w:val="nil"/>
            </w:tcBorders>
            <w:vAlign w:val="center"/>
            <w:hideMark/>
          </w:tcPr>
          <w:p w14:paraId="1DE2326B"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49%</w:t>
            </w:r>
          </w:p>
        </w:tc>
        <w:tc>
          <w:tcPr>
            <w:tcW w:w="1298" w:type="dxa"/>
            <w:tcBorders>
              <w:top w:val="nil"/>
              <w:left w:val="nil"/>
              <w:bottom w:val="nil"/>
              <w:right w:val="nil"/>
            </w:tcBorders>
            <w:vAlign w:val="center"/>
            <w:hideMark/>
          </w:tcPr>
          <w:p w14:paraId="09B5024C"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45%</w:t>
            </w:r>
          </w:p>
        </w:tc>
        <w:tc>
          <w:tcPr>
            <w:tcW w:w="1298" w:type="dxa"/>
            <w:tcBorders>
              <w:top w:val="nil"/>
              <w:left w:val="nil"/>
              <w:bottom w:val="nil"/>
              <w:right w:val="nil"/>
            </w:tcBorders>
            <w:vAlign w:val="center"/>
            <w:hideMark/>
          </w:tcPr>
          <w:p w14:paraId="0025E5C5"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49%</w:t>
            </w:r>
          </w:p>
        </w:tc>
      </w:tr>
      <w:tr w:rsidR="0084529A" w:rsidRPr="00EE361A" w14:paraId="7F1813D5" w14:textId="77777777" w:rsidTr="006C0C76">
        <w:trPr>
          <w:trHeight w:val="429"/>
          <w:jc w:val="center"/>
        </w:trPr>
        <w:tc>
          <w:tcPr>
            <w:tcW w:w="3677" w:type="dxa"/>
            <w:tcBorders>
              <w:top w:val="nil"/>
              <w:left w:val="nil"/>
              <w:bottom w:val="nil"/>
              <w:right w:val="nil"/>
            </w:tcBorders>
            <w:vAlign w:val="center"/>
            <w:hideMark/>
          </w:tcPr>
          <w:p w14:paraId="30371EF9" w14:textId="753BBA02" w:rsidR="0084529A" w:rsidRPr="00EE361A" w:rsidRDefault="0084529A" w:rsidP="006C0C76">
            <w:pPr>
              <w:rPr>
                <w:rFonts w:ascii="Calibri" w:hAnsi="Calibri" w:cs="Calibri"/>
                <w:color w:val="000000"/>
              </w:rPr>
            </w:pPr>
            <w:r w:rsidRPr="00EE361A">
              <w:rPr>
                <w:rFonts w:ascii="Calibri" w:hAnsi="Calibri" w:cs="Calibri"/>
                <w:color w:val="000000"/>
              </w:rPr>
              <w:t xml:space="preserve">Health </w:t>
            </w:r>
            <w:r w:rsidR="00BE12D7" w:rsidRPr="00EE361A">
              <w:rPr>
                <w:rFonts w:ascii="Calibri" w:hAnsi="Calibri" w:cs="Calibri"/>
                <w:color w:val="000000"/>
              </w:rPr>
              <w:t>R</w:t>
            </w:r>
            <w:r w:rsidRPr="00EE361A">
              <w:rPr>
                <w:rFonts w:ascii="Calibri" w:hAnsi="Calibri" w:cs="Calibri"/>
                <w:color w:val="000000"/>
              </w:rPr>
              <w:t xml:space="preserve">elated </w:t>
            </w:r>
            <w:r w:rsidR="00BE12D7" w:rsidRPr="00EE361A">
              <w:rPr>
                <w:rFonts w:ascii="Calibri" w:hAnsi="Calibri" w:cs="Calibri"/>
                <w:color w:val="000000"/>
              </w:rPr>
              <w:t>A</w:t>
            </w:r>
            <w:r w:rsidRPr="00EE361A">
              <w:rPr>
                <w:rFonts w:ascii="Calibri" w:hAnsi="Calibri" w:cs="Calibri"/>
                <w:color w:val="000000"/>
              </w:rPr>
              <w:t xml:space="preserve">ctors </w:t>
            </w:r>
          </w:p>
        </w:tc>
        <w:tc>
          <w:tcPr>
            <w:tcW w:w="1298" w:type="dxa"/>
            <w:tcBorders>
              <w:top w:val="nil"/>
              <w:left w:val="nil"/>
              <w:bottom w:val="nil"/>
              <w:right w:val="nil"/>
            </w:tcBorders>
            <w:vAlign w:val="center"/>
            <w:hideMark/>
          </w:tcPr>
          <w:p w14:paraId="4DAC0761"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10%</w:t>
            </w:r>
          </w:p>
        </w:tc>
        <w:tc>
          <w:tcPr>
            <w:tcW w:w="1298" w:type="dxa"/>
            <w:tcBorders>
              <w:top w:val="nil"/>
              <w:left w:val="nil"/>
              <w:bottom w:val="nil"/>
              <w:right w:val="nil"/>
            </w:tcBorders>
            <w:vAlign w:val="center"/>
            <w:hideMark/>
          </w:tcPr>
          <w:p w14:paraId="5BA3F4AB"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18%</w:t>
            </w:r>
          </w:p>
        </w:tc>
        <w:tc>
          <w:tcPr>
            <w:tcW w:w="1298" w:type="dxa"/>
            <w:tcBorders>
              <w:top w:val="nil"/>
              <w:left w:val="nil"/>
              <w:bottom w:val="nil"/>
              <w:right w:val="nil"/>
            </w:tcBorders>
            <w:vAlign w:val="center"/>
            <w:hideMark/>
          </w:tcPr>
          <w:p w14:paraId="3BEE3B8F"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18%</w:t>
            </w:r>
          </w:p>
        </w:tc>
        <w:tc>
          <w:tcPr>
            <w:tcW w:w="1298" w:type="dxa"/>
            <w:tcBorders>
              <w:top w:val="nil"/>
              <w:left w:val="nil"/>
              <w:bottom w:val="nil"/>
              <w:right w:val="nil"/>
            </w:tcBorders>
            <w:vAlign w:val="center"/>
            <w:hideMark/>
          </w:tcPr>
          <w:p w14:paraId="3D6FA4F5"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17%</w:t>
            </w:r>
          </w:p>
        </w:tc>
      </w:tr>
      <w:tr w:rsidR="0084529A" w:rsidRPr="00EE361A" w14:paraId="5A9095A5" w14:textId="77777777" w:rsidTr="006C0C76">
        <w:trPr>
          <w:trHeight w:val="573"/>
          <w:jc w:val="center"/>
        </w:trPr>
        <w:tc>
          <w:tcPr>
            <w:tcW w:w="3677" w:type="dxa"/>
            <w:tcBorders>
              <w:top w:val="nil"/>
              <w:left w:val="nil"/>
              <w:bottom w:val="nil"/>
              <w:right w:val="nil"/>
            </w:tcBorders>
            <w:vAlign w:val="center"/>
            <w:hideMark/>
          </w:tcPr>
          <w:p w14:paraId="59BDC17F" w14:textId="288B4121" w:rsidR="0084529A" w:rsidRPr="00EE361A" w:rsidRDefault="0084529A" w:rsidP="006C0C76">
            <w:pPr>
              <w:rPr>
                <w:rFonts w:ascii="Calibri" w:hAnsi="Calibri" w:cs="Calibri"/>
                <w:color w:val="000000"/>
              </w:rPr>
            </w:pPr>
            <w:r w:rsidRPr="00EE361A">
              <w:rPr>
                <w:rFonts w:ascii="Calibri" w:hAnsi="Calibri" w:cs="Calibri"/>
                <w:color w:val="000000"/>
              </w:rPr>
              <w:t xml:space="preserve">Society and Civil </w:t>
            </w:r>
            <w:r w:rsidR="00BE12D7" w:rsidRPr="00EE361A">
              <w:rPr>
                <w:rFonts w:ascii="Calibri" w:hAnsi="Calibri" w:cs="Calibri"/>
                <w:color w:val="000000"/>
              </w:rPr>
              <w:t>S</w:t>
            </w:r>
            <w:r w:rsidRPr="00EE361A">
              <w:rPr>
                <w:rFonts w:ascii="Calibri" w:hAnsi="Calibri" w:cs="Calibri"/>
                <w:color w:val="000000"/>
              </w:rPr>
              <w:t xml:space="preserve">ociety </w:t>
            </w:r>
            <w:r w:rsidR="00BE12D7" w:rsidRPr="00EE361A">
              <w:rPr>
                <w:rFonts w:ascii="Calibri" w:hAnsi="Calibri" w:cs="Calibri"/>
                <w:color w:val="000000"/>
              </w:rPr>
              <w:t>A</w:t>
            </w:r>
            <w:r w:rsidRPr="00EE361A">
              <w:rPr>
                <w:rFonts w:ascii="Calibri" w:hAnsi="Calibri" w:cs="Calibri"/>
                <w:color w:val="000000"/>
              </w:rPr>
              <w:t>ctors</w:t>
            </w:r>
          </w:p>
        </w:tc>
        <w:tc>
          <w:tcPr>
            <w:tcW w:w="1298" w:type="dxa"/>
            <w:tcBorders>
              <w:top w:val="nil"/>
              <w:left w:val="nil"/>
              <w:bottom w:val="nil"/>
              <w:right w:val="nil"/>
            </w:tcBorders>
            <w:vAlign w:val="center"/>
            <w:hideMark/>
          </w:tcPr>
          <w:p w14:paraId="5FB50D5C"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11%</w:t>
            </w:r>
          </w:p>
        </w:tc>
        <w:tc>
          <w:tcPr>
            <w:tcW w:w="1298" w:type="dxa"/>
            <w:tcBorders>
              <w:top w:val="nil"/>
              <w:left w:val="nil"/>
              <w:bottom w:val="nil"/>
              <w:right w:val="nil"/>
            </w:tcBorders>
            <w:vAlign w:val="center"/>
            <w:hideMark/>
          </w:tcPr>
          <w:p w14:paraId="3FCE75A9"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8%</w:t>
            </w:r>
          </w:p>
        </w:tc>
        <w:tc>
          <w:tcPr>
            <w:tcW w:w="1298" w:type="dxa"/>
            <w:tcBorders>
              <w:top w:val="nil"/>
              <w:left w:val="nil"/>
              <w:bottom w:val="nil"/>
              <w:right w:val="nil"/>
            </w:tcBorders>
            <w:vAlign w:val="center"/>
            <w:hideMark/>
          </w:tcPr>
          <w:p w14:paraId="6E84BC2B"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9%</w:t>
            </w:r>
          </w:p>
        </w:tc>
        <w:tc>
          <w:tcPr>
            <w:tcW w:w="1298" w:type="dxa"/>
            <w:tcBorders>
              <w:top w:val="nil"/>
              <w:left w:val="nil"/>
              <w:bottom w:val="nil"/>
              <w:right w:val="nil"/>
            </w:tcBorders>
            <w:vAlign w:val="center"/>
            <w:hideMark/>
          </w:tcPr>
          <w:p w14:paraId="7533AD69"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9%</w:t>
            </w:r>
          </w:p>
        </w:tc>
      </w:tr>
      <w:tr w:rsidR="0084529A" w:rsidRPr="00EE361A" w14:paraId="35403176" w14:textId="77777777" w:rsidTr="006C0C76">
        <w:trPr>
          <w:trHeight w:val="286"/>
          <w:jc w:val="center"/>
        </w:trPr>
        <w:tc>
          <w:tcPr>
            <w:tcW w:w="3677" w:type="dxa"/>
            <w:tcBorders>
              <w:top w:val="nil"/>
              <w:left w:val="nil"/>
              <w:bottom w:val="nil"/>
              <w:right w:val="nil"/>
            </w:tcBorders>
            <w:vAlign w:val="center"/>
            <w:hideMark/>
          </w:tcPr>
          <w:p w14:paraId="77C9C88F" w14:textId="77777777" w:rsidR="0084529A" w:rsidRPr="00EE361A" w:rsidRDefault="0084529A" w:rsidP="006C0C76">
            <w:pPr>
              <w:rPr>
                <w:rFonts w:ascii="Calibri" w:hAnsi="Calibri" w:cs="Calibri"/>
                <w:color w:val="000000"/>
              </w:rPr>
            </w:pPr>
            <w:r w:rsidRPr="00EE361A">
              <w:rPr>
                <w:rFonts w:ascii="Calibri" w:hAnsi="Calibri" w:cs="Calibri"/>
                <w:color w:val="000000"/>
              </w:rPr>
              <w:t>Economic Actors</w:t>
            </w:r>
          </w:p>
        </w:tc>
        <w:tc>
          <w:tcPr>
            <w:tcW w:w="1298" w:type="dxa"/>
            <w:tcBorders>
              <w:top w:val="nil"/>
              <w:left w:val="nil"/>
              <w:bottom w:val="nil"/>
              <w:right w:val="nil"/>
            </w:tcBorders>
            <w:vAlign w:val="center"/>
            <w:hideMark/>
          </w:tcPr>
          <w:p w14:paraId="13200C30"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9%</w:t>
            </w:r>
          </w:p>
        </w:tc>
        <w:tc>
          <w:tcPr>
            <w:tcW w:w="1298" w:type="dxa"/>
            <w:tcBorders>
              <w:top w:val="nil"/>
              <w:left w:val="nil"/>
              <w:bottom w:val="nil"/>
              <w:right w:val="nil"/>
            </w:tcBorders>
            <w:vAlign w:val="center"/>
            <w:hideMark/>
          </w:tcPr>
          <w:p w14:paraId="4F80590A"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8%</w:t>
            </w:r>
          </w:p>
        </w:tc>
        <w:tc>
          <w:tcPr>
            <w:tcW w:w="1298" w:type="dxa"/>
            <w:tcBorders>
              <w:top w:val="nil"/>
              <w:left w:val="nil"/>
              <w:bottom w:val="nil"/>
              <w:right w:val="nil"/>
            </w:tcBorders>
            <w:vAlign w:val="center"/>
            <w:hideMark/>
          </w:tcPr>
          <w:p w14:paraId="09E4B90A"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6%</w:t>
            </w:r>
          </w:p>
        </w:tc>
        <w:tc>
          <w:tcPr>
            <w:tcW w:w="1298" w:type="dxa"/>
            <w:tcBorders>
              <w:top w:val="nil"/>
              <w:left w:val="nil"/>
              <w:bottom w:val="nil"/>
              <w:right w:val="nil"/>
            </w:tcBorders>
            <w:vAlign w:val="center"/>
            <w:hideMark/>
          </w:tcPr>
          <w:p w14:paraId="269B7765"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8%</w:t>
            </w:r>
          </w:p>
        </w:tc>
      </w:tr>
      <w:tr w:rsidR="0084529A" w:rsidRPr="00EE361A" w14:paraId="544E2804" w14:textId="77777777" w:rsidTr="006C0C76">
        <w:trPr>
          <w:trHeight w:val="716"/>
          <w:jc w:val="center"/>
        </w:trPr>
        <w:tc>
          <w:tcPr>
            <w:tcW w:w="3677" w:type="dxa"/>
            <w:tcBorders>
              <w:top w:val="nil"/>
              <w:left w:val="nil"/>
              <w:bottom w:val="nil"/>
              <w:right w:val="nil"/>
            </w:tcBorders>
            <w:vAlign w:val="center"/>
            <w:hideMark/>
          </w:tcPr>
          <w:p w14:paraId="7AB6588D" w14:textId="014E55F3" w:rsidR="0084529A" w:rsidRPr="00EE361A" w:rsidRDefault="0084529A" w:rsidP="006C0C76">
            <w:pPr>
              <w:rPr>
                <w:rFonts w:ascii="Calibri" w:hAnsi="Calibri" w:cs="Calibri"/>
                <w:color w:val="000000"/>
              </w:rPr>
            </w:pPr>
            <w:r w:rsidRPr="00EE361A">
              <w:rPr>
                <w:rFonts w:ascii="Calibri" w:hAnsi="Calibri" w:cs="Calibri"/>
                <w:color w:val="000000"/>
              </w:rPr>
              <w:lastRenderedPageBreak/>
              <w:t xml:space="preserve">Supranational </w:t>
            </w:r>
            <w:r w:rsidR="00BE12D7" w:rsidRPr="00EE361A">
              <w:rPr>
                <w:rFonts w:ascii="Calibri" w:hAnsi="Calibri" w:cs="Calibri"/>
                <w:color w:val="000000"/>
              </w:rPr>
              <w:t>A</w:t>
            </w:r>
            <w:r w:rsidRPr="00EE361A">
              <w:rPr>
                <w:rFonts w:ascii="Calibri" w:hAnsi="Calibri" w:cs="Calibri"/>
                <w:color w:val="000000"/>
              </w:rPr>
              <w:t>ctors</w:t>
            </w:r>
          </w:p>
        </w:tc>
        <w:tc>
          <w:tcPr>
            <w:tcW w:w="1298" w:type="dxa"/>
            <w:tcBorders>
              <w:top w:val="nil"/>
              <w:left w:val="nil"/>
              <w:bottom w:val="nil"/>
              <w:right w:val="nil"/>
            </w:tcBorders>
            <w:vAlign w:val="center"/>
            <w:hideMark/>
          </w:tcPr>
          <w:p w14:paraId="40700D83"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6%</w:t>
            </w:r>
          </w:p>
        </w:tc>
        <w:tc>
          <w:tcPr>
            <w:tcW w:w="1298" w:type="dxa"/>
            <w:tcBorders>
              <w:top w:val="nil"/>
              <w:left w:val="nil"/>
              <w:bottom w:val="nil"/>
              <w:right w:val="nil"/>
            </w:tcBorders>
            <w:vAlign w:val="center"/>
            <w:hideMark/>
          </w:tcPr>
          <w:p w14:paraId="25C330D6"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8%</w:t>
            </w:r>
          </w:p>
        </w:tc>
        <w:tc>
          <w:tcPr>
            <w:tcW w:w="1298" w:type="dxa"/>
            <w:tcBorders>
              <w:top w:val="nil"/>
              <w:left w:val="nil"/>
              <w:bottom w:val="nil"/>
              <w:right w:val="nil"/>
            </w:tcBorders>
            <w:vAlign w:val="center"/>
            <w:hideMark/>
          </w:tcPr>
          <w:p w14:paraId="4C3537D7"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6%</w:t>
            </w:r>
          </w:p>
        </w:tc>
        <w:tc>
          <w:tcPr>
            <w:tcW w:w="1298" w:type="dxa"/>
            <w:tcBorders>
              <w:top w:val="nil"/>
              <w:left w:val="nil"/>
              <w:bottom w:val="nil"/>
              <w:right w:val="nil"/>
            </w:tcBorders>
            <w:vAlign w:val="center"/>
            <w:hideMark/>
          </w:tcPr>
          <w:p w14:paraId="30AC127E"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7%</w:t>
            </w:r>
          </w:p>
        </w:tc>
      </w:tr>
      <w:tr w:rsidR="0084529A" w:rsidRPr="00EE361A" w14:paraId="5D93E7A4" w14:textId="77777777" w:rsidTr="006C0C76">
        <w:trPr>
          <w:trHeight w:val="286"/>
          <w:jc w:val="center"/>
        </w:trPr>
        <w:tc>
          <w:tcPr>
            <w:tcW w:w="3677" w:type="dxa"/>
            <w:tcBorders>
              <w:top w:val="nil"/>
              <w:left w:val="nil"/>
              <w:bottom w:val="nil"/>
              <w:right w:val="nil"/>
            </w:tcBorders>
            <w:vAlign w:val="center"/>
            <w:hideMark/>
          </w:tcPr>
          <w:p w14:paraId="5561FCCA" w14:textId="3543FF47" w:rsidR="0084529A" w:rsidRPr="00EE361A" w:rsidRDefault="0084529A" w:rsidP="006C0C76">
            <w:pPr>
              <w:rPr>
                <w:rFonts w:ascii="Calibri" w:hAnsi="Calibri" w:cs="Calibri"/>
                <w:color w:val="000000"/>
              </w:rPr>
            </w:pPr>
            <w:r w:rsidRPr="00EE361A">
              <w:rPr>
                <w:rFonts w:ascii="Calibri" w:hAnsi="Calibri" w:cs="Calibri"/>
                <w:color w:val="000000"/>
              </w:rPr>
              <w:t xml:space="preserve">Political </w:t>
            </w:r>
            <w:r w:rsidR="00BE12D7" w:rsidRPr="00EE361A">
              <w:rPr>
                <w:rFonts w:ascii="Calibri" w:hAnsi="Calibri" w:cs="Calibri"/>
                <w:color w:val="000000"/>
              </w:rPr>
              <w:t>A</w:t>
            </w:r>
            <w:r w:rsidRPr="00EE361A">
              <w:rPr>
                <w:rFonts w:ascii="Calibri" w:hAnsi="Calibri" w:cs="Calibri"/>
                <w:color w:val="000000"/>
              </w:rPr>
              <w:t>ctors</w:t>
            </w:r>
          </w:p>
        </w:tc>
        <w:tc>
          <w:tcPr>
            <w:tcW w:w="1298" w:type="dxa"/>
            <w:tcBorders>
              <w:top w:val="nil"/>
              <w:left w:val="nil"/>
              <w:bottom w:val="nil"/>
              <w:right w:val="nil"/>
            </w:tcBorders>
            <w:vAlign w:val="center"/>
            <w:hideMark/>
          </w:tcPr>
          <w:p w14:paraId="2B2BBB55"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5%</w:t>
            </w:r>
          </w:p>
        </w:tc>
        <w:tc>
          <w:tcPr>
            <w:tcW w:w="1298" w:type="dxa"/>
            <w:tcBorders>
              <w:top w:val="nil"/>
              <w:left w:val="nil"/>
              <w:bottom w:val="nil"/>
              <w:right w:val="nil"/>
            </w:tcBorders>
            <w:vAlign w:val="center"/>
            <w:hideMark/>
          </w:tcPr>
          <w:p w14:paraId="47BE7F93"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6%</w:t>
            </w:r>
          </w:p>
        </w:tc>
        <w:tc>
          <w:tcPr>
            <w:tcW w:w="1298" w:type="dxa"/>
            <w:tcBorders>
              <w:top w:val="nil"/>
              <w:left w:val="nil"/>
              <w:bottom w:val="nil"/>
              <w:right w:val="nil"/>
            </w:tcBorders>
            <w:vAlign w:val="center"/>
            <w:hideMark/>
          </w:tcPr>
          <w:p w14:paraId="7231001E"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8%</w:t>
            </w:r>
          </w:p>
        </w:tc>
        <w:tc>
          <w:tcPr>
            <w:tcW w:w="1298" w:type="dxa"/>
            <w:tcBorders>
              <w:top w:val="nil"/>
              <w:left w:val="nil"/>
              <w:bottom w:val="nil"/>
              <w:right w:val="nil"/>
            </w:tcBorders>
            <w:vAlign w:val="center"/>
            <w:hideMark/>
          </w:tcPr>
          <w:p w14:paraId="5CDE774F"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7%</w:t>
            </w:r>
          </w:p>
        </w:tc>
      </w:tr>
      <w:tr w:rsidR="0084529A" w:rsidRPr="00EE361A" w14:paraId="552020B0" w14:textId="77777777" w:rsidTr="006C0C76">
        <w:trPr>
          <w:trHeight w:val="286"/>
          <w:jc w:val="center"/>
        </w:trPr>
        <w:tc>
          <w:tcPr>
            <w:tcW w:w="3677" w:type="dxa"/>
            <w:tcBorders>
              <w:top w:val="nil"/>
              <w:left w:val="nil"/>
              <w:bottom w:val="nil"/>
              <w:right w:val="nil"/>
            </w:tcBorders>
            <w:vAlign w:val="center"/>
            <w:hideMark/>
          </w:tcPr>
          <w:p w14:paraId="0E2A6588" w14:textId="36380025" w:rsidR="0084529A" w:rsidRPr="00EE361A" w:rsidRDefault="0084529A" w:rsidP="006C0C76">
            <w:pPr>
              <w:rPr>
                <w:rFonts w:ascii="Calibri" w:hAnsi="Calibri" w:cs="Calibri"/>
                <w:color w:val="000000"/>
              </w:rPr>
            </w:pPr>
            <w:r w:rsidRPr="00EE361A">
              <w:rPr>
                <w:rFonts w:ascii="Calibri" w:hAnsi="Calibri" w:cs="Calibri"/>
                <w:color w:val="000000"/>
              </w:rPr>
              <w:t xml:space="preserve">Education – Science </w:t>
            </w:r>
            <w:r w:rsidR="00BE12D7" w:rsidRPr="00EE361A">
              <w:rPr>
                <w:rFonts w:ascii="Calibri" w:hAnsi="Calibri" w:cs="Calibri"/>
                <w:color w:val="000000"/>
              </w:rPr>
              <w:t>R</w:t>
            </w:r>
            <w:r w:rsidRPr="00EE361A">
              <w:rPr>
                <w:rFonts w:ascii="Calibri" w:hAnsi="Calibri" w:cs="Calibri"/>
                <w:color w:val="000000"/>
              </w:rPr>
              <w:t xml:space="preserve">elated </w:t>
            </w:r>
            <w:r w:rsidR="00BE12D7" w:rsidRPr="00EE361A">
              <w:rPr>
                <w:rFonts w:ascii="Calibri" w:hAnsi="Calibri" w:cs="Calibri"/>
                <w:color w:val="000000"/>
              </w:rPr>
              <w:t>A</w:t>
            </w:r>
            <w:r w:rsidRPr="00EE361A">
              <w:rPr>
                <w:rFonts w:ascii="Calibri" w:hAnsi="Calibri" w:cs="Calibri"/>
                <w:color w:val="000000"/>
              </w:rPr>
              <w:t>ctors</w:t>
            </w:r>
          </w:p>
        </w:tc>
        <w:tc>
          <w:tcPr>
            <w:tcW w:w="1298" w:type="dxa"/>
            <w:tcBorders>
              <w:top w:val="nil"/>
              <w:left w:val="nil"/>
              <w:bottom w:val="nil"/>
              <w:right w:val="nil"/>
            </w:tcBorders>
            <w:vAlign w:val="center"/>
            <w:hideMark/>
          </w:tcPr>
          <w:p w14:paraId="0B85DBEA"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3%</w:t>
            </w:r>
          </w:p>
        </w:tc>
        <w:tc>
          <w:tcPr>
            <w:tcW w:w="1298" w:type="dxa"/>
            <w:tcBorders>
              <w:top w:val="nil"/>
              <w:left w:val="nil"/>
              <w:bottom w:val="nil"/>
              <w:right w:val="nil"/>
            </w:tcBorders>
            <w:vAlign w:val="center"/>
            <w:hideMark/>
          </w:tcPr>
          <w:p w14:paraId="29525AC1"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3%</w:t>
            </w:r>
          </w:p>
        </w:tc>
        <w:tc>
          <w:tcPr>
            <w:tcW w:w="1298" w:type="dxa"/>
            <w:tcBorders>
              <w:top w:val="nil"/>
              <w:left w:val="nil"/>
              <w:bottom w:val="nil"/>
              <w:right w:val="nil"/>
            </w:tcBorders>
            <w:vAlign w:val="center"/>
            <w:hideMark/>
          </w:tcPr>
          <w:p w14:paraId="5770612C"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4%</w:t>
            </w:r>
          </w:p>
        </w:tc>
        <w:tc>
          <w:tcPr>
            <w:tcW w:w="1298" w:type="dxa"/>
            <w:tcBorders>
              <w:top w:val="nil"/>
              <w:left w:val="nil"/>
              <w:bottom w:val="nil"/>
              <w:right w:val="nil"/>
            </w:tcBorders>
            <w:vAlign w:val="center"/>
            <w:hideMark/>
          </w:tcPr>
          <w:p w14:paraId="0D4CC4A2"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3%</w:t>
            </w:r>
          </w:p>
        </w:tc>
      </w:tr>
      <w:tr w:rsidR="0084529A" w:rsidRPr="00EE361A" w14:paraId="22821236" w14:textId="77777777" w:rsidTr="006C0C76">
        <w:trPr>
          <w:trHeight w:val="573"/>
          <w:jc w:val="center"/>
        </w:trPr>
        <w:tc>
          <w:tcPr>
            <w:tcW w:w="3677" w:type="dxa"/>
            <w:tcBorders>
              <w:top w:val="nil"/>
              <w:left w:val="nil"/>
              <w:bottom w:val="single" w:sz="4" w:space="0" w:color="auto"/>
              <w:right w:val="nil"/>
            </w:tcBorders>
            <w:vAlign w:val="center"/>
            <w:hideMark/>
          </w:tcPr>
          <w:p w14:paraId="4C92F5B9" w14:textId="0F0EFB22" w:rsidR="0084529A" w:rsidRPr="00EE361A" w:rsidRDefault="0084529A" w:rsidP="006C0C76">
            <w:pPr>
              <w:rPr>
                <w:rFonts w:ascii="Calibri" w:hAnsi="Calibri" w:cs="Calibri"/>
                <w:color w:val="000000"/>
              </w:rPr>
            </w:pPr>
            <w:r w:rsidRPr="00EE361A">
              <w:rPr>
                <w:rFonts w:ascii="Calibri" w:hAnsi="Calibri" w:cs="Calibri"/>
                <w:color w:val="000000"/>
              </w:rPr>
              <w:t xml:space="preserve">Labor </w:t>
            </w:r>
            <w:r w:rsidR="00BE12D7" w:rsidRPr="00EE361A">
              <w:rPr>
                <w:rFonts w:ascii="Calibri" w:hAnsi="Calibri" w:cs="Calibri"/>
                <w:color w:val="000000"/>
              </w:rPr>
              <w:t>O</w:t>
            </w:r>
            <w:r w:rsidRPr="00EE361A">
              <w:rPr>
                <w:rFonts w:ascii="Calibri" w:hAnsi="Calibri" w:cs="Calibri"/>
                <w:color w:val="000000"/>
              </w:rPr>
              <w:t xml:space="preserve">rganizations and </w:t>
            </w:r>
            <w:r w:rsidR="00BE12D7" w:rsidRPr="00EE361A">
              <w:rPr>
                <w:rFonts w:ascii="Calibri" w:hAnsi="Calibri" w:cs="Calibri"/>
                <w:color w:val="000000"/>
              </w:rPr>
              <w:t>G</w:t>
            </w:r>
            <w:r w:rsidRPr="00EE361A">
              <w:rPr>
                <w:rFonts w:ascii="Calibri" w:hAnsi="Calibri" w:cs="Calibri"/>
                <w:color w:val="000000"/>
              </w:rPr>
              <w:t>roups</w:t>
            </w:r>
          </w:p>
        </w:tc>
        <w:tc>
          <w:tcPr>
            <w:tcW w:w="1298" w:type="dxa"/>
            <w:tcBorders>
              <w:top w:val="nil"/>
              <w:left w:val="nil"/>
              <w:bottom w:val="single" w:sz="4" w:space="0" w:color="auto"/>
              <w:right w:val="nil"/>
            </w:tcBorders>
            <w:vAlign w:val="center"/>
            <w:hideMark/>
          </w:tcPr>
          <w:p w14:paraId="3CE9A8BA"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2%</w:t>
            </w:r>
          </w:p>
        </w:tc>
        <w:tc>
          <w:tcPr>
            <w:tcW w:w="1298" w:type="dxa"/>
            <w:tcBorders>
              <w:top w:val="nil"/>
              <w:left w:val="nil"/>
              <w:bottom w:val="single" w:sz="4" w:space="0" w:color="auto"/>
              <w:right w:val="nil"/>
            </w:tcBorders>
            <w:vAlign w:val="center"/>
            <w:hideMark/>
          </w:tcPr>
          <w:p w14:paraId="6AFABE56"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w:t>
            </w:r>
          </w:p>
        </w:tc>
        <w:tc>
          <w:tcPr>
            <w:tcW w:w="1298" w:type="dxa"/>
            <w:tcBorders>
              <w:top w:val="nil"/>
              <w:left w:val="nil"/>
              <w:bottom w:val="single" w:sz="4" w:space="0" w:color="auto"/>
              <w:right w:val="nil"/>
            </w:tcBorders>
            <w:vAlign w:val="center"/>
            <w:hideMark/>
          </w:tcPr>
          <w:p w14:paraId="3064D01F"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2%</w:t>
            </w:r>
          </w:p>
        </w:tc>
        <w:tc>
          <w:tcPr>
            <w:tcW w:w="1298" w:type="dxa"/>
            <w:tcBorders>
              <w:top w:val="nil"/>
              <w:left w:val="nil"/>
              <w:bottom w:val="single" w:sz="4" w:space="0" w:color="auto"/>
              <w:right w:val="nil"/>
            </w:tcBorders>
            <w:vAlign w:val="center"/>
            <w:hideMark/>
          </w:tcPr>
          <w:p w14:paraId="2690F7E0" w14:textId="77777777" w:rsidR="0084529A" w:rsidRPr="00EE361A" w:rsidRDefault="0084529A" w:rsidP="006C0C76">
            <w:pPr>
              <w:jc w:val="center"/>
              <w:rPr>
                <w:rFonts w:ascii="Calibri" w:hAnsi="Calibri" w:cs="Calibri"/>
                <w:color w:val="000000"/>
              </w:rPr>
            </w:pPr>
            <w:r w:rsidRPr="00EE361A">
              <w:rPr>
                <w:rFonts w:ascii="Calibri" w:hAnsi="Calibri" w:cs="Calibri"/>
                <w:color w:val="000000"/>
              </w:rPr>
              <w:t>1%</w:t>
            </w:r>
          </w:p>
        </w:tc>
      </w:tr>
      <w:tr w:rsidR="0084529A" w:rsidRPr="00EE361A" w14:paraId="7B5E88FE" w14:textId="77777777" w:rsidTr="006C0C76">
        <w:trPr>
          <w:trHeight w:val="573"/>
          <w:jc w:val="center"/>
        </w:trPr>
        <w:tc>
          <w:tcPr>
            <w:tcW w:w="3677" w:type="dxa"/>
            <w:tcBorders>
              <w:top w:val="nil"/>
              <w:left w:val="nil"/>
              <w:bottom w:val="single" w:sz="4" w:space="0" w:color="auto"/>
              <w:right w:val="nil"/>
            </w:tcBorders>
            <w:noWrap/>
            <w:vAlign w:val="center"/>
            <w:hideMark/>
          </w:tcPr>
          <w:p w14:paraId="7301602E"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Total</w:t>
            </w:r>
          </w:p>
        </w:tc>
        <w:tc>
          <w:tcPr>
            <w:tcW w:w="1298" w:type="dxa"/>
            <w:tcBorders>
              <w:top w:val="nil"/>
              <w:left w:val="nil"/>
              <w:bottom w:val="single" w:sz="4" w:space="0" w:color="auto"/>
              <w:right w:val="nil"/>
            </w:tcBorders>
            <w:vAlign w:val="center"/>
            <w:hideMark/>
          </w:tcPr>
          <w:p w14:paraId="16D3B841"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100%</w:t>
            </w:r>
          </w:p>
          <w:p w14:paraId="53504C89"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(362)</w:t>
            </w:r>
          </w:p>
        </w:tc>
        <w:tc>
          <w:tcPr>
            <w:tcW w:w="1298" w:type="dxa"/>
            <w:tcBorders>
              <w:top w:val="nil"/>
              <w:left w:val="nil"/>
              <w:bottom w:val="single" w:sz="4" w:space="0" w:color="auto"/>
              <w:right w:val="nil"/>
            </w:tcBorders>
            <w:vAlign w:val="center"/>
            <w:hideMark/>
          </w:tcPr>
          <w:p w14:paraId="4A950314"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100% (952)</w:t>
            </w:r>
          </w:p>
        </w:tc>
        <w:tc>
          <w:tcPr>
            <w:tcW w:w="1298" w:type="dxa"/>
            <w:tcBorders>
              <w:top w:val="nil"/>
              <w:left w:val="nil"/>
              <w:bottom w:val="single" w:sz="4" w:space="0" w:color="auto"/>
              <w:right w:val="nil"/>
            </w:tcBorders>
            <w:vAlign w:val="center"/>
            <w:hideMark/>
          </w:tcPr>
          <w:p w14:paraId="51A3F1E7"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100% (590)</w:t>
            </w:r>
          </w:p>
        </w:tc>
        <w:tc>
          <w:tcPr>
            <w:tcW w:w="1298" w:type="dxa"/>
            <w:tcBorders>
              <w:top w:val="nil"/>
              <w:left w:val="nil"/>
              <w:bottom w:val="single" w:sz="4" w:space="0" w:color="auto"/>
              <w:right w:val="nil"/>
            </w:tcBorders>
            <w:vAlign w:val="center"/>
            <w:hideMark/>
          </w:tcPr>
          <w:p w14:paraId="19840A61"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100%</w:t>
            </w:r>
          </w:p>
          <w:p w14:paraId="798EEE72" w14:textId="77777777" w:rsidR="0084529A" w:rsidRPr="00EE361A" w:rsidRDefault="0084529A" w:rsidP="006C0C76">
            <w:pPr>
              <w:jc w:val="center"/>
              <w:rPr>
                <w:rFonts w:ascii="Calibri" w:hAnsi="Calibri" w:cs="Calibri"/>
                <w:b/>
                <w:bCs/>
                <w:color w:val="000000"/>
              </w:rPr>
            </w:pPr>
            <w:r w:rsidRPr="00EE361A">
              <w:rPr>
                <w:rFonts w:ascii="Calibri" w:hAnsi="Calibri" w:cs="Calibri"/>
                <w:b/>
                <w:bCs/>
                <w:color w:val="000000"/>
              </w:rPr>
              <w:t>(1,904)</w:t>
            </w:r>
          </w:p>
        </w:tc>
      </w:tr>
    </w:tbl>
    <w:p w14:paraId="74BA6298" w14:textId="77777777" w:rsidR="0084529A" w:rsidRPr="00EE361A" w:rsidRDefault="0084529A" w:rsidP="0084529A">
      <w:pPr>
        <w:jc w:val="both"/>
        <w:rPr>
          <w:rFonts w:asciiTheme="minorHAnsi" w:hAnsiTheme="minorHAnsi" w:cstheme="minorHAnsi"/>
        </w:rPr>
      </w:pPr>
    </w:p>
    <w:p w14:paraId="2D6557D5" w14:textId="25B56BEA" w:rsidR="0084529A" w:rsidRPr="00EE361A" w:rsidRDefault="00744493" w:rsidP="0084529A">
      <w:pPr>
        <w:jc w:val="both"/>
        <w:rPr>
          <w:rFonts w:asciiTheme="minorHAnsi" w:hAnsiTheme="minorHAnsi" w:cstheme="minorHAnsi"/>
          <w:i/>
          <w:iCs/>
        </w:rPr>
      </w:pPr>
      <w:r w:rsidRPr="00EE361A">
        <w:rPr>
          <w:rFonts w:asciiTheme="minorHAnsi" w:hAnsiTheme="minorHAnsi" w:cstheme="minorHAnsi"/>
          <w:i/>
          <w:iCs/>
          <w:sz w:val="22"/>
          <w:szCs w:val="22"/>
        </w:rPr>
        <w:t xml:space="preserve">Notes: </w:t>
      </w:r>
      <w:r w:rsidRPr="00EE361A">
        <w:rPr>
          <w:rFonts w:asciiTheme="minorHAnsi" w:hAnsiTheme="minorHAnsi"/>
          <w:i/>
          <w:iCs/>
          <w:sz w:val="22"/>
          <w:szCs w:val="22"/>
        </w:rPr>
        <w:t xml:space="preserve">The same coding categories </w:t>
      </w:r>
      <w:r w:rsidR="00BE12D7" w:rsidRPr="00EE361A">
        <w:rPr>
          <w:rFonts w:asciiTheme="minorHAnsi" w:hAnsiTheme="minorHAnsi"/>
          <w:i/>
          <w:iCs/>
          <w:sz w:val="22"/>
          <w:szCs w:val="22"/>
        </w:rPr>
        <w:t>are</w:t>
      </w:r>
      <w:r w:rsidRPr="00EE361A">
        <w:rPr>
          <w:rFonts w:asciiTheme="minorHAnsi" w:hAnsiTheme="minorHAnsi"/>
          <w:i/>
          <w:iCs/>
          <w:sz w:val="22"/>
          <w:szCs w:val="22"/>
        </w:rPr>
        <w:t xml:space="preserve"> applied to both senders and addressees to ensure comparability across dimensions of analysis. These include: state actors - authorities (e.g., government, ministries, parliament, regional and local officials); political actors (parties and individual politicians); economic actors (private companies, employers’ organizations, and financial institutions); labour organizations and groups (unions and workers); health-related actors (medical experts, professional associations, and health unions); </w:t>
      </w:r>
      <w:r w:rsidR="00896386" w:rsidRPr="00EE361A">
        <w:rPr>
          <w:rFonts w:asciiTheme="minorHAnsi" w:hAnsiTheme="minorHAnsi"/>
          <w:i/>
          <w:iCs/>
          <w:sz w:val="22"/>
          <w:szCs w:val="22"/>
        </w:rPr>
        <w:t>s</w:t>
      </w:r>
      <w:r w:rsidRPr="00EE361A">
        <w:rPr>
          <w:rFonts w:asciiTheme="minorHAnsi" w:hAnsiTheme="minorHAnsi"/>
          <w:i/>
          <w:iCs/>
          <w:sz w:val="22"/>
          <w:szCs w:val="22"/>
        </w:rPr>
        <w:t>ocial and civil-society actors (NGOs, solidarity networks, citizens, and activist groups); education and science-related actors (teachers, students, universities, and non-medical scientists); and supranational actors (EU institutions, WHO, and other international organizations).</w:t>
      </w:r>
    </w:p>
    <w:p w14:paraId="13044576" w14:textId="77777777" w:rsidR="00D20D06" w:rsidRPr="00EE361A" w:rsidRDefault="00D20D06" w:rsidP="0084529A">
      <w:pPr>
        <w:jc w:val="both"/>
        <w:rPr>
          <w:rFonts w:asciiTheme="minorHAnsi" w:hAnsiTheme="minorHAnsi" w:cstheme="minorHAnsi"/>
        </w:rPr>
      </w:pPr>
    </w:p>
    <w:p w14:paraId="1BFE17DA" w14:textId="26FFCA19" w:rsidR="000013C6" w:rsidRPr="00EE361A" w:rsidRDefault="0084529A" w:rsidP="0084529A">
      <w:pPr>
        <w:jc w:val="both"/>
        <w:rPr>
          <w:rFonts w:asciiTheme="minorHAnsi" w:hAnsiTheme="minorHAnsi" w:cstheme="minorHAnsi"/>
        </w:rPr>
      </w:pPr>
      <w:r w:rsidRPr="00EE361A">
        <w:rPr>
          <w:rFonts w:asciiTheme="minorHAnsi" w:hAnsiTheme="minorHAnsi" w:cstheme="minorHAnsi"/>
        </w:rPr>
        <w:t xml:space="preserve">Building on the sender analysis, the next step examines </w:t>
      </w:r>
      <w:r w:rsidR="00D20D06" w:rsidRPr="00EE361A">
        <w:rPr>
          <w:rFonts w:asciiTheme="minorHAnsi" w:hAnsiTheme="minorHAnsi" w:cstheme="minorHAnsi"/>
        </w:rPr>
        <w:t xml:space="preserve">the </w:t>
      </w:r>
      <w:r w:rsidR="000013C6" w:rsidRPr="00EE361A">
        <w:rPr>
          <w:rFonts w:asciiTheme="minorHAnsi" w:hAnsiTheme="minorHAnsi" w:cstheme="minorHAnsi"/>
        </w:rPr>
        <w:t>addressee/target of the claims</w:t>
      </w:r>
      <w:r w:rsidR="004D1190" w:rsidRPr="00EE361A">
        <w:rPr>
          <w:rFonts w:asciiTheme="minorHAnsi" w:hAnsiTheme="minorHAnsi" w:cstheme="minorHAnsi"/>
        </w:rPr>
        <w:t xml:space="preserve"> (see Table 2)</w:t>
      </w:r>
      <w:r w:rsidRPr="00EE361A">
        <w:rPr>
          <w:rFonts w:asciiTheme="minorHAnsi" w:hAnsiTheme="minorHAnsi" w:cstheme="minorHAnsi"/>
        </w:rPr>
        <w:t>, mapping the structure of interactions between different actors in the Greek public sphere during the pandemic.</w:t>
      </w:r>
      <w:r w:rsidR="000013C6" w:rsidRPr="00EE361A">
        <w:rPr>
          <w:rFonts w:asciiTheme="minorHAnsi" w:hAnsiTheme="minorHAnsi" w:cstheme="minorHAnsi"/>
        </w:rPr>
        <w:t xml:space="preserve"> </w:t>
      </w:r>
      <w:r w:rsidRPr="00EE361A">
        <w:rPr>
          <w:rFonts w:asciiTheme="minorHAnsi" w:hAnsiTheme="minorHAnsi" w:cstheme="minorHAnsi"/>
        </w:rPr>
        <w:t>The results indicate that society and civil-society actors were the most frequent addressees across almost all sender groups. They were targeted in over half of all claims (51</w:t>
      </w:r>
      <w:r w:rsidR="00186D53" w:rsidRPr="00EE361A">
        <w:rPr>
          <w:rFonts w:asciiTheme="minorHAnsi" w:hAnsiTheme="minorHAnsi" w:cstheme="minorHAnsi"/>
          <w:lang w:val="en-US"/>
        </w:rPr>
        <w:t>.4</w:t>
      </w:r>
      <w:r w:rsidR="00614B74" w:rsidRPr="00EE361A">
        <w:rPr>
          <w:rFonts w:asciiTheme="minorHAnsi" w:hAnsiTheme="minorHAnsi" w:cstheme="minorHAnsi"/>
        </w:rPr>
        <w:t xml:space="preserve"> per cent</w:t>
      </w:r>
      <w:r w:rsidRPr="00EE361A">
        <w:rPr>
          <w:rFonts w:asciiTheme="minorHAnsi" w:hAnsiTheme="minorHAnsi" w:cstheme="minorHAnsi"/>
        </w:rPr>
        <w:t>), reaching 62.2 per cent of claims made by state actors, 56 per cent by health-related actors, and 50</w:t>
      </w:r>
      <w:r w:rsidR="00093276" w:rsidRPr="00EE361A">
        <w:rPr>
          <w:rFonts w:asciiTheme="minorHAnsi" w:hAnsiTheme="minorHAnsi" w:cstheme="minorHAnsi"/>
        </w:rPr>
        <w:t>.</w:t>
      </w:r>
      <w:r w:rsidRPr="00EE361A">
        <w:rPr>
          <w:rFonts w:asciiTheme="minorHAnsi" w:hAnsiTheme="minorHAnsi" w:cstheme="minorHAnsi"/>
        </w:rPr>
        <w:t xml:space="preserve">3 per cent by civil-society senders themselves. State authorities were the second most frequent addressees overall, receiving </w:t>
      </w:r>
      <w:r w:rsidR="00186D53" w:rsidRPr="00EE361A">
        <w:rPr>
          <w:rFonts w:asciiTheme="minorHAnsi" w:hAnsiTheme="minorHAnsi" w:cstheme="minorHAnsi"/>
          <w:lang w:val="en-US"/>
        </w:rPr>
        <w:t>31</w:t>
      </w:r>
      <w:r w:rsidRPr="00EE361A">
        <w:rPr>
          <w:rFonts w:asciiTheme="minorHAnsi" w:hAnsiTheme="minorHAnsi" w:cstheme="minorHAnsi"/>
        </w:rPr>
        <w:t xml:space="preserve">.4 per cent of all claims and particularly high attention from political actors (89.4 </w:t>
      </w:r>
      <w:r w:rsidR="00186D53" w:rsidRPr="00EE361A">
        <w:rPr>
          <w:rFonts w:asciiTheme="minorHAnsi" w:hAnsiTheme="minorHAnsi" w:cstheme="minorHAnsi"/>
        </w:rPr>
        <w:t>per cent</w:t>
      </w:r>
      <w:r w:rsidRPr="00EE361A">
        <w:rPr>
          <w:rFonts w:asciiTheme="minorHAnsi" w:hAnsiTheme="minorHAnsi" w:cstheme="minorHAnsi"/>
        </w:rPr>
        <w:t xml:space="preserve">), labour organizations (84.6 </w:t>
      </w:r>
      <w:r w:rsidR="00614B74" w:rsidRPr="00EE361A">
        <w:rPr>
          <w:rFonts w:asciiTheme="minorHAnsi" w:hAnsiTheme="minorHAnsi" w:cstheme="minorHAnsi"/>
        </w:rPr>
        <w:t>per cent</w:t>
      </w:r>
      <w:r w:rsidRPr="00EE361A">
        <w:rPr>
          <w:rFonts w:asciiTheme="minorHAnsi" w:hAnsiTheme="minorHAnsi" w:cstheme="minorHAnsi"/>
        </w:rPr>
        <w:t xml:space="preserve">), and education- or science-related actors (47.6 </w:t>
      </w:r>
      <w:r w:rsidR="00614B74" w:rsidRPr="00EE361A">
        <w:rPr>
          <w:rFonts w:asciiTheme="minorHAnsi" w:hAnsiTheme="minorHAnsi" w:cstheme="minorHAnsi"/>
        </w:rPr>
        <w:t>per cent</w:t>
      </w:r>
      <w:r w:rsidRPr="00EE361A">
        <w:rPr>
          <w:rFonts w:asciiTheme="minorHAnsi" w:hAnsiTheme="minorHAnsi" w:cstheme="minorHAnsi"/>
        </w:rPr>
        <w:t xml:space="preserve">). Claims directed toward economic actors accounted for </w:t>
      </w:r>
      <w:r w:rsidR="00186D53" w:rsidRPr="00EE361A">
        <w:rPr>
          <w:rFonts w:asciiTheme="minorHAnsi" w:hAnsiTheme="minorHAnsi" w:cstheme="minorHAnsi"/>
          <w:lang w:val="en-US"/>
        </w:rPr>
        <w:t>4.9</w:t>
      </w:r>
      <w:r w:rsidRPr="00EE361A">
        <w:rPr>
          <w:rFonts w:asciiTheme="minorHAnsi" w:hAnsiTheme="minorHAnsi" w:cstheme="minorHAnsi"/>
        </w:rPr>
        <w:t xml:space="preserve"> per cent of the total, while health-related actors appeared as addressees in 3.8 per cent of all cases. Political actors were rarely addressed (less than 1 </w:t>
      </w:r>
      <w:r w:rsidR="00527866" w:rsidRPr="00EE361A">
        <w:rPr>
          <w:rFonts w:asciiTheme="minorHAnsi" w:hAnsiTheme="minorHAnsi" w:cstheme="minorHAnsi"/>
        </w:rPr>
        <w:t xml:space="preserve">per cent), </w:t>
      </w:r>
      <w:r w:rsidRPr="00EE361A">
        <w:rPr>
          <w:rFonts w:asciiTheme="minorHAnsi" w:hAnsiTheme="minorHAnsi" w:cstheme="minorHAnsi"/>
        </w:rPr>
        <w:t xml:space="preserve">indicating limited interaction or contestation directed </w:t>
      </w:r>
      <w:r w:rsidR="000013C6" w:rsidRPr="00EE361A">
        <w:rPr>
          <w:rFonts w:asciiTheme="minorHAnsi" w:hAnsiTheme="minorHAnsi" w:cstheme="minorHAnsi"/>
        </w:rPr>
        <w:t xml:space="preserve">toward </w:t>
      </w:r>
      <w:r w:rsidRPr="00EE361A">
        <w:rPr>
          <w:rFonts w:asciiTheme="minorHAnsi" w:hAnsiTheme="minorHAnsi" w:cstheme="minorHAnsi"/>
        </w:rPr>
        <w:t>the opposition</w:t>
      </w:r>
      <w:r w:rsidR="00BB7A89" w:rsidRPr="00EE361A">
        <w:rPr>
          <w:rStyle w:val="Rimandonotaapidipagina"/>
          <w:rFonts w:asciiTheme="minorHAnsi" w:hAnsiTheme="minorHAnsi" w:cstheme="minorHAnsi"/>
        </w:rPr>
        <w:footnoteReference w:id="14"/>
      </w:r>
      <w:r w:rsidRPr="00EE361A">
        <w:rPr>
          <w:rFonts w:asciiTheme="minorHAnsi" w:hAnsiTheme="minorHAnsi" w:cstheme="minorHAnsi"/>
        </w:rPr>
        <w:t xml:space="preserve">. Finally, </w:t>
      </w:r>
      <w:r w:rsidR="004E0ED1" w:rsidRPr="00EE361A">
        <w:rPr>
          <w:rFonts w:asciiTheme="minorHAnsi" w:hAnsiTheme="minorHAnsi" w:cstheme="minorHAnsi"/>
        </w:rPr>
        <w:t>s</w:t>
      </w:r>
      <w:r w:rsidRPr="00EE361A">
        <w:rPr>
          <w:rFonts w:asciiTheme="minorHAnsi" w:hAnsiTheme="minorHAnsi" w:cstheme="minorHAnsi"/>
        </w:rPr>
        <w:t xml:space="preserve">upranational actors were targeted in </w:t>
      </w:r>
      <w:r w:rsidR="00186D53" w:rsidRPr="00EE361A">
        <w:rPr>
          <w:rFonts w:asciiTheme="minorHAnsi" w:hAnsiTheme="minorHAnsi" w:cstheme="minorHAnsi"/>
          <w:lang w:val="en-US"/>
        </w:rPr>
        <w:t>4.0</w:t>
      </w:r>
      <w:r w:rsidRPr="00EE361A">
        <w:rPr>
          <w:rFonts w:asciiTheme="minorHAnsi" w:hAnsiTheme="minorHAnsi" w:cstheme="minorHAnsi"/>
        </w:rPr>
        <w:t xml:space="preserve"> per cent of all claims, mostly by supranational and economic senders themselves. </w:t>
      </w:r>
    </w:p>
    <w:p w14:paraId="1DB815D3" w14:textId="77777777" w:rsidR="000013C6" w:rsidRPr="00EE361A" w:rsidRDefault="000013C6" w:rsidP="0084529A">
      <w:pPr>
        <w:jc w:val="both"/>
        <w:rPr>
          <w:rFonts w:asciiTheme="minorHAnsi" w:hAnsiTheme="minorHAnsi" w:cstheme="minorHAnsi"/>
        </w:rPr>
      </w:pPr>
    </w:p>
    <w:p w14:paraId="7BBCB488" w14:textId="23176E1C" w:rsidR="0084529A" w:rsidRPr="00EE361A" w:rsidRDefault="0084529A" w:rsidP="0084529A">
      <w:pPr>
        <w:jc w:val="both"/>
        <w:rPr>
          <w:rFonts w:asciiTheme="minorHAnsi" w:hAnsiTheme="minorHAnsi" w:cstheme="minorHAnsi"/>
        </w:rPr>
      </w:pPr>
    </w:p>
    <w:p w14:paraId="1166D2A6" w14:textId="77777777" w:rsidR="0084529A" w:rsidRPr="00EE361A" w:rsidRDefault="0084529A" w:rsidP="0084529A">
      <w:pPr>
        <w:jc w:val="both"/>
        <w:rPr>
          <w:rFonts w:asciiTheme="minorHAnsi" w:hAnsiTheme="minorHAnsi" w:cstheme="minorHAnsi"/>
        </w:rPr>
      </w:pPr>
      <w:r w:rsidRPr="00EE361A">
        <w:rPr>
          <w:rFonts w:cstheme="minorHAnsi"/>
        </w:rPr>
        <w:t>Table 2: Relationship between senders and addressees of the claims</w:t>
      </w:r>
    </w:p>
    <w:tbl>
      <w:tblPr>
        <w:tblpPr w:leftFromText="180" w:rightFromText="180" w:vertAnchor="text" w:horzAnchor="page" w:tblpX="427" w:tblpY="276"/>
        <w:tblW w:w="10995" w:type="dxa"/>
        <w:tblLayout w:type="fixed"/>
        <w:tblLook w:val="04A0" w:firstRow="1" w:lastRow="0" w:firstColumn="1" w:lastColumn="0" w:noHBand="0" w:noVBand="1"/>
      </w:tblPr>
      <w:tblGrid>
        <w:gridCol w:w="1467"/>
        <w:gridCol w:w="1437"/>
        <w:gridCol w:w="1115"/>
        <w:gridCol w:w="879"/>
        <w:gridCol w:w="890"/>
        <w:gridCol w:w="796"/>
        <w:gridCol w:w="1297"/>
        <w:gridCol w:w="341"/>
        <w:gridCol w:w="416"/>
        <w:gridCol w:w="841"/>
        <w:gridCol w:w="476"/>
        <w:gridCol w:w="1040"/>
      </w:tblGrid>
      <w:tr w:rsidR="00186D53" w:rsidRPr="00EE361A" w14:paraId="1AC9C785" w14:textId="280261AC" w:rsidTr="00186D53">
        <w:trPr>
          <w:trHeight w:val="318"/>
        </w:trPr>
        <w:tc>
          <w:tcPr>
            <w:tcW w:w="1467" w:type="dxa"/>
            <w:vMerge w:val="restart"/>
            <w:tcBorders>
              <w:top w:val="single" w:sz="4" w:space="0" w:color="auto"/>
              <w:left w:val="nil"/>
              <w:bottom w:val="nil"/>
              <w:right w:val="nil"/>
            </w:tcBorders>
            <w:noWrap/>
            <w:vAlign w:val="center"/>
            <w:hideMark/>
          </w:tcPr>
          <w:p w14:paraId="30ABECEB" w14:textId="77777777" w:rsidR="00186D53" w:rsidRPr="00EE361A" w:rsidRDefault="00186D53" w:rsidP="00186D53">
            <w:pPr>
              <w:rPr>
                <w:rFonts w:ascii="Calibri" w:hAnsi="Calibri" w:cs="Calibri"/>
                <w:b/>
                <w:bCs/>
                <w:color w:val="000000"/>
                <w:sz w:val="18"/>
                <w:szCs w:val="18"/>
              </w:rPr>
            </w:pPr>
            <w:r w:rsidRPr="00EE361A">
              <w:rPr>
                <w:rFonts w:ascii="Calibri" w:hAnsi="Calibri" w:cs="Calibri"/>
                <w:b/>
                <w:bCs/>
                <w:color w:val="000000"/>
                <w:sz w:val="18"/>
                <w:szCs w:val="18"/>
              </w:rPr>
              <w:t xml:space="preserve">Addressees Categories </w:t>
            </w:r>
          </w:p>
        </w:tc>
        <w:tc>
          <w:tcPr>
            <w:tcW w:w="6755" w:type="dxa"/>
            <w:gridSpan w:val="7"/>
            <w:tcBorders>
              <w:top w:val="single" w:sz="4" w:space="0" w:color="auto"/>
              <w:left w:val="nil"/>
              <w:bottom w:val="nil"/>
              <w:right w:val="nil"/>
            </w:tcBorders>
            <w:noWrap/>
            <w:vAlign w:val="center"/>
            <w:hideMark/>
          </w:tcPr>
          <w:p w14:paraId="4EACB934"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 xml:space="preserve">Sender categories </w:t>
            </w:r>
          </w:p>
        </w:tc>
        <w:tc>
          <w:tcPr>
            <w:tcW w:w="1257" w:type="dxa"/>
            <w:gridSpan w:val="2"/>
            <w:tcBorders>
              <w:top w:val="single" w:sz="4" w:space="0" w:color="auto"/>
              <w:left w:val="nil"/>
              <w:bottom w:val="nil"/>
              <w:right w:val="nil"/>
            </w:tcBorders>
            <w:noWrap/>
            <w:vAlign w:val="center"/>
            <w:hideMark/>
          </w:tcPr>
          <w:p w14:paraId="5349E4D1" w14:textId="77777777" w:rsidR="00186D53" w:rsidRPr="00EE361A" w:rsidRDefault="00186D53" w:rsidP="00186D53">
            <w:pPr>
              <w:jc w:val="center"/>
              <w:rPr>
                <w:rFonts w:ascii="Calibri" w:hAnsi="Calibri" w:cs="Calibri"/>
                <w:b/>
                <w:bCs/>
                <w:color w:val="000000"/>
                <w:sz w:val="18"/>
                <w:szCs w:val="18"/>
              </w:rPr>
            </w:pPr>
          </w:p>
        </w:tc>
        <w:tc>
          <w:tcPr>
            <w:tcW w:w="476" w:type="dxa"/>
            <w:tcBorders>
              <w:top w:val="single" w:sz="4" w:space="0" w:color="auto"/>
              <w:left w:val="nil"/>
              <w:bottom w:val="nil"/>
              <w:right w:val="nil"/>
            </w:tcBorders>
            <w:noWrap/>
            <w:vAlign w:val="center"/>
            <w:hideMark/>
          </w:tcPr>
          <w:p w14:paraId="54DC1977" w14:textId="77777777" w:rsidR="00186D53" w:rsidRPr="00EE361A" w:rsidRDefault="00186D53" w:rsidP="00186D53">
            <w:pPr>
              <w:rPr>
                <w:sz w:val="18"/>
                <w:szCs w:val="18"/>
              </w:rPr>
            </w:pPr>
          </w:p>
        </w:tc>
        <w:tc>
          <w:tcPr>
            <w:tcW w:w="1040" w:type="dxa"/>
            <w:tcBorders>
              <w:top w:val="single" w:sz="4" w:space="0" w:color="auto"/>
            </w:tcBorders>
          </w:tcPr>
          <w:p w14:paraId="7E69D454" w14:textId="77777777" w:rsidR="00186D53" w:rsidRPr="00EE361A" w:rsidRDefault="00186D53" w:rsidP="00186D53">
            <w:pPr>
              <w:rPr>
                <w:sz w:val="18"/>
                <w:szCs w:val="18"/>
              </w:rPr>
            </w:pPr>
          </w:p>
        </w:tc>
      </w:tr>
      <w:tr w:rsidR="00186D53" w:rsidRPr="00EE361A" w14:paraId="326BCA81" w14:textId="6D49702D" w:rsidTr="00186D53">
        <w:trPr>
          <w:trHeight w:val="318"/>
        </w:trPr>
        <w:tc>
          <w:tcPr>
            <w:tcW w:w="1467" w:type="dxa"/>
            <w:vMerge/>
            <w:tcBorders>
              <w:top w:val="nil"/>
              <w:left w:val="nil"/>
              <w:bottom w:val="single" w:sz="4" w:space="0" w:color="auto"/>
              <w:right w:val="nil"/>
            </w:tcBorders>
            <w:vAlign w:val="center"/>
            <w:hideMark/>
          </w:tcPr>
          <w:p w14:paraId="49F7F243" w14:textId="77777777" w:rsidR="00186D53" w:rsidRPr="00EE361A" w:rsidRDefault="00186D53" w:rsidP="00186D53">
            <w:pPr>
              <w:rPr>
                <w:rFonts w:ascii="Calibri" w:hAnsi="Calibri" w:cs="Calibri"/>
                <w:b/>
                <w:bCs/>
                <w:color w:val="000000"/>
                <w:sz w:val="18"/>
                <w:szCs w:val="18"/>
              </w:rPr>
            </w:pPr>
          </w:p>
        </w:tc>
        <w:tc>
          <w:tcPr>
            <w:tcW w:w="1437" w:type="dxa"/>
            <w:tcBorders>
              <w:top w:val="nil"/>
              <w:left w:val="nil"/>
              <w:bottom w:val="single" w:sz="4" w:space="0" w:color="auto"/>
              <w:right w:val="nil"/>
            </w:tcBorders>
            <w:noWrap/>
            <w:vAlign w:val="center"/>
            <w:hideMark/>
          </w:tcPr>
          <w:p w14:paraId="4815CFFA"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State Actors-Authorities</w:t>
            </w:r>
          </w:p>
        </w:tc>
        <w:tc>
          <w:tcPr>
            <w:tcW w:w="1115" w:type="dxa"/>
            <w:tcBorders>
              <w:top w:val="nil"/>
              <w:left w:val="nil"/>
              <w:bottom w:val="single" w:sz="4" w:space="0" w:color="auto"/>
              <w:right w:val="nil"/>
            </w:tcBorders>
            <w:noWrap/>
            <w:vAlign w:val="center"/>
            <w:hideMark/>
          </w:tcPr>
          <w:p w14:paraId="07D88948"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Health related actors</w:t>
            </w:r>
          </w:p>
        </w:tc>
        <w:tc>
          <w:tcPr>
            <w:tcW w:w="879" w:type="dxa"/>
            <w:tcBorders>
              <w:top w:val="nil"/>
              <w:left w:val="nil"/>
              <w:bottom w:val="single" w:sz="4" w:space="0" w:color="auto"/>
              <w:right w:val="nil"/>
            </w:tcBorders>
            <w:noWrap/>
            <w:vAlign w:val="center"/>
            <w:hideMark/>
          </w:tcPr>
          <w:p w14:paraId="1917525F"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Society and civil society actors</w:t>
            </w:r>
          </w:p>
        </w:tc>
        <w:tc>
          <w:tcPr>
            <w:tcW w:w="890" w:type="dxa"/>
            <w:tcBorders>
              <w:top w:val="nil"/>
              <w:left w:val="nil"/>
              <w:bottom w:val="single" w:sz="4" w:space="0" w:color="auto"/>
              <w:right w:val="nil"/>
            </w:tcBorders>
            <w:noWrap/>
            <w:vAlign w:val="center"/>
            <w:hideMark/>
          </w:tcPr>
          <w:p w14:paraId="2EBFB75E"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Economic actors</w:t>
            </w:r>
          </w:p>
        </w:tc>
        <w:tc>
          <w:tcPr>
            <w:tcW w:w="796" w:type="dxa"/>
            <w:tcBorders>
              <w:top w:val="nil"/>
              <w:left w:val="nil"/>
              <w:bottom w:val="single" w:sz="4" w:space="0" w:color="auto"/>
              <w:right w:val="nil"/>
            </w:tcBorders>
            <w:noWrap/>
            <w:vAlign w:val="center"/>
            <w:hideMark/>
          </w:tcPr>
          <w:p w14:paraId="0BEA551D"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Political actors</w:t>
            </w:r>
          </w:p>
        </w:tc>
        <w:tc>
          <w:tcPr>
            <w:tcW w:w="1297" w:type="dxa"/>
            <w:tcBorders>
              <w:top w:val="nil"/>
              <w:left w:val="nil"/>
              <w:bottom w:val="single" w:sz="4" w:space="0" w:color="auto"/>
              <w:right w:val="nil"/>
            </w:tcBorders>
            <w:noWrap/>
            <w:vAlign w:val="center"/>
            <w:hideMark/>
          </w:tcPr>
          <w:p w14:paraId="37CFE359"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 xml:space="preserve"> Supranational actors</w:t>
            </w:r>
          </w:p>
        </w:tc>
        <w:tc>
          <w:tcPr>
            <w:tcW w:w="757" w:type="dxa"/>
            <w:gridSpan w:val="2"/>
            <w:tcBorders>
              <w:top w:val="nil"/>
              <w:left w:val="nil"/>
              <w:bottom w:val="single" w:sz="4" w:space="0" w:color="auto"/>
              <w:right w:val="nil"/>
            </w:tcBorders>
            <w:noWrap/>
            <w:vAlign w:val="center"/>
            <w:hideMark/>
          </w:tcPr>
          <w:p w14:paraId="3D518E72"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 xml:space="preserve">Education – Science </w:t>
            </w:r>
            <w:r w:rsidRPr="00EE361A">
              <w:rPr>
                <w:rFonts w:ascii="Calibri" w:hAnsi="Calibri" w:cs="Calibri"/>
                <w:b/>
                <w:bCs/>
                <w:color w:val="000000"/>
                <w:sz w:val="18"/>
                <w:szCs w:val="18"/>
              </w:rPr>
              <w:lastRenderedPageBreak/>
              <w:t>related actors</w:t>
            </w:r>
          </w:p>
        </w:tc>
        <w:tc>
          <w:tcPr>
            <w:tcW w:w="1312" w:type="dxa"/>
            <w:gridSpan w:val="2"/>
            <w:tcBorders>
              <w:top w:val="nil"/>
              <w:left w:val="nil"/>
              <w:bottom w:val="single" w:sz="4" w:space="0" w:color="auto"/>
              <w:right w:val="nil"/>
            </w:tcBorders>
            <w:noWrap/>
            <w:vAlign w:val="center"/>
            <w:hideMark/>
          </w:tcPr>
          <w:p w14:paraId="7CD27F55" w14:textId="77777777"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lastRenderedPageBreak/>
              <w:t>Labor organizations and groups</w:t>
            </w:r>
          </w:p>
        </w:tc>
        <w:tc>
          <w:tcPr>
            <w:tcW w:w="1040" w:type="dxa"/>
            <w:tcBorders>
              <w:bottom w:val="single" w:sz="4" w:space="0" w:color="auto"/>
            </w:tcBorders>
            <w:vAlign w:val="center"/>
          </w:tcPr>
          <w:p w14:paraId="35617213" w14:textId="3D725902" w:rsidR="00186D53" w:rsidRPr="00EE361A" w:rsidRDefault="00186D53" w:rsidP="00186D53">
            <w:pPr>
              <w:jc w:val="center"/>
              <w:rPr>
                <w:rFonts w:ascii="Calibri" w:hAnsi="Calibri" w:cs="Calibri"/>
                <w:b/>
                <w:bCs/>
                <w:color w:val="000000"/>
                <w:sz w:val="18"/>
                <w:szCs w:val="18"/>
              </w:rPr>
            </w:pPr>
            <w:r w:rsidRPr="00EE361A">
              <w:rPr>
                <w:rFonts w:ascii="Calibri" w:hAnsi="Calibri" w:cs="Calibri"/>
                <w:b/>
                <w:bCs/>
                <w:color w:val="000000"/>
                <w:sz w:val="18"/>
                <w:szCs w:val="18"/>
              </w:rPr>
              <w:t>Total</w:t>
            </w:r>
          </w:p>
        </w:tc>
      </w:tr>
      <w:tr w:rsidR="00186D53" w:rsidRPr="00EE361A" w14:paraId="0A25CD3C" w14:textId="7001D527" w:rsidTr="00186D53">
        <w:trPr>
          <w:trHeight w:val="318"/>
        </w:trPr>
        <w:tc>
          <w:tcPr>
            <w:tcW w:w="1467" w:type="dxa"/>
            <w:tcBorders>
              <w:top w:val="single" w:sz="4" w:space="0" w:color="auto"/>
              <w:left w:val="nil"/>
              <w:bottom w:val="nil"/>
              <w:right w:val="nil"/>
            </w:tcBorders>
            <w:noWrap/>
            <w:vAlign w:val="bottom"/>
            <w:hideMark/>
          </w:tcPr>
          <w:p w14:paraId="6C447C9F"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lastRenderedPageBreak/>
              <w:t>State Actors-Authorities</w:t>
            </w:r>
          </w:p>
        </w:tc>
        <w:tc>
          <w:tcPr>
            <w:tcW w:w="1437" w:type="dxa"/>
            <w:tcBorders>
              <w:top w:val="single" w:sz="4" w:space="0" w:color="auto"/>
              <w:left w:val="nil"/>
              <w:bottom w:val="nil"/>
              <w:right w:val="nil"/>
            </w:tcBorders>
            <w:noWrap/>
            <w:vAlign w:val="center"/>
            <w:hideMark/>
          </w:tcPr>
          <w:p w14:paraId="1A6DBDB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18.4%</w:t>
            </w:r>
          </w:p>
        </w:tc>
        <w:tc>
          <w:tcPr>
            <w:tcW w:w="1115" w:type="dxa"/>
            <w:tcBorders>
              <w:top w:val="single" w:sz="4" w:space="0" w:color="auto"/>
              <w:left w:val="nil"/>
              <w:bottom w:val="nil"/>
              <w:right w:val="nil"/>
            </w:tcBorders>
            <w:noWrap/>
            <w:vAlign w:val="center"/>
            <w:hideMark/>
          </w:tcPr>
          <w:p w14:paraId="7F14338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34.3%</w:t>
            </w:r>
          </w:p>
        </w:tc>
        <w:tc>
          <w:tcPr>
            <w:tcW w:w="879" w:type="dxa"/>
            <w:tcBorders>
              <w:top w:val="single" w:sz="4" w:space="0" w:color="auto"/>
              <w:left w:val="nil"/>
              <w:bottom w:val="nil"/>
              <w:right w:val="nil"/>
            </w:tcBorders>
            <w:noWrap/>
            <w:vAlign w:val="center"/>
            <w:hideMark/>
          </w:tcPr>
          <w:p w14:paraId="4508B8C6"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35.7%</w:t>
            </w:r>
          </w:p>
        </w:tc>
        <w:tc>
          <w:tcPr>
            <w:tcW w:w="890" w:type="dxa"/>
            <w:tcBorders>
              <w:top w:val="single" w:sz="4" w:space="0" w:color="auto"/>
              <w:left w:val="nil"/>
              <w:bottom w:val="nil"/>
              <w:right w:val="nil"/>
            </w:tcBorders>
            <w:noWrap/>
            <w:vAlign w:val="center"/>
            <w:hideMark/>
          </w:tcPr>
          <w:p w14:paraId="7AA566C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44.7%</w:t>
            </w:r>
          </w:p>
        </w:tc>
        <w:tc>
          <w:tcPr>
            <w:tcW w:w="796" w:type="dxa"/>
            <w:tcBorders>
              <w:top w:val="single" w:sz="4" w:space="0" w:color="auto"/>
              <w:left w:val="nil"/>
              <w:bottom w:val="nil"/>
              <w:right w:val="nil"/>
            </w:tcBorders>
            <w:noWrap/>
            <w:vAlign w:val="center"/>
            <w:hideMark/>
          </w:tcPr>
          <w:p w14:paraId="366410B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89.4%</w:t>
            </w:r>
          </w:p>
        </w:tc>
        <w:tc>
          <w:tcPr>
            <w:tcW w:w="1297" w:type="dxa"/>
            <w:tcBorders>
              <w:top w:val="single" w:sz="4" w:space="0" w:color="auto"/>
              <w:left w:val="nil"/>
              <w:bottom w:val="nil"/>
              <w:right w:val="nil"/>
            </w:tcBorders>
            <w:noWrap/>
            <w:vAlign w:val="center"/>
            <w:hideMark/>
          </w:tcPr>
          <w:p w14:paraId="37E2406E"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21.7%</w:t>
            </w:r>
          </w:p>
        </w:tc>
        <w:tc>
          <w:tcPr>
            <w:tcW w:w="757" w:type="dxa"/>
            <w:gridSpan w:val="2"/>
            <w:tcBorders>
              <w:top w:val="single" w:sz="4" w:space="0" w:color="auto"/>
              <w:left w:val="nil"/>
              <w:bottom w:val="nil"/>
              <w:right w:val="nil"/>
            </w:tcBorders>
            <w:noWrap/>
            <w:vAlign w:val="center"/>
            <w:hideMark/>
          </w:tcPr>
          <w:p w14:paraId="7DCE90C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47.6%</w:t>
            </w:r>
          </w:p>
        </w:tc>
        <w:tc>
          <w:tcPr>
            <w:tcW w:w="1312" w:type="dxa"/>
            <w:gridSpan w:val="2"/>
            <w:tcBorders>
              <w:top w:val="single" w:sz="4" w:space="0" w:color="auto"/>
              <w:left w:val="nil"/>
              <w:bottom w:val="nil"/>
              <w:right w:val="nil"/>
            </w:tcBorders>
            <w:noWrap/>
            <w:vAlign w:val="center"/>
            <w:hideMark/>
          </w:tcPr>
          <w:p w14:paraId="789513CE"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84.6%</w:t>
            </w:r>
          </w:p>
        </w:tc>
        <w:tc>
          <w:tcPr>
            <w:tcW w:w="1040" w:type="dxa"/>
            <w:tcBorders>
              <w:top w:val="single" w:sz="4" w:space="0" w:color="auto"/>
            </w:tcBorders>
            <w:vAlign w:val="center"/>
          </w:tcPr>
          <w:p w14:paraId="115B2225" w14:textId="66CD7E90"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31.4%</w:t>
            </w:r>
          </w:p>
        </w:tc>
      </w:tr>
      <w:tr w:rsidR="00186D53" w:rsidRPr="00EE361A" w14:paraId="6F3EF028" w14:textId="3FCAE225" w:rsidTr="00186D53">
        <w:trPr>
          <w:trHeight w:val="318"/>
        </w:trPr>
        <w:tc>
          <w:tcPr>
            <w:tcW w:w="1467" w:type="dxa"/>
            <w:tcBorders>
              <w:top w:val="nil"/>
              <w:left w:val="nil"/>
              <w:bottom w:val="nil"/>
              <w:right w:val="nil"/>
            </w:tcBorders>
            <w:noWrap/>
            <w:vAlign w:val="bottom"/>
            <w:hideMark/>
          </w:tcPr>
          <w:p w14:paraId="673F32F6"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Political actors</w:t>
            </w:r>
          </w:p>
        </w:tc>
        <w:tc>
          <w:tcPr>
            <w:tcW w:w="1437" w:type="dxa"/>
            <w:tcBorders>
              <w:top w:val="nil"/>
              <w:left w:val="nil"/>
              <w:bottom w:val="nil"/>
              <w:right w:val="nil"/>
            </w:tcBorders>
            <w:noWrap/>
            <w:vAlign w:val="center"/>
            <w:hideMark/>
          </w:tcPr>
          <w:p w14:paraId="7E93021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0.9%</w:t>
            </w:r>
          </w:p>
        </w:tc>
        <w:tc>
          <w:tcPr>
            <w:tcW w:w="1115" w:type="dxa"/>
            <w:tcBorders>
              <w:top w:val="nil"/>
              <w:left w:val="nil"/>
              <w:bottom w:val="nil"/>
              <w:right w:val="nil"/>
            </w:tcBorders>
            <w:noWrap/>
            <w:vAlign w:val="center"/>
            <w:hideMark/>
          </w:tcPr>
          <w:p w14:paraId="68C46726"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0.6%</w:t>
            </w:r>
          </w:p>
        </w:tc>
        <w:tc>
          <w:tcPr>
            <w:tcW w:w="879" w:type="dxa"/>
            <w:tcBorders>
              <w:top w:val="nil"/>
              <w:left w:val="nil"/>
              <w:bottom w:val="nil"/>
              <w:right w:val="nil"/>
            </w:tcBorders>
            <w:noWrap/>
            <w:vAlign w:val="center"/>
            <w:hideMark/>
          </w:tcPr>
          <w:p w14:paraId="51B6169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890" w:type="dxa"/>
            <w:tcBorders>
              <w:top w:val="nil"/>
              <w:left w:val="nil"/>
              <w:bottom w:val="nil"/>
              <w:right w:val="nil"/>
            </w:tcBorders>
            <w:noWrap/>
            <w:vAlign w:val="center"/>
            <w:hideMark/>
          </w:tcPr>
          <w:p w14:paraId="518C7285"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1.3%</w:t>
            </w:r>
          </w:p>
        </w:tc>
        <w:tc>
          <w:tcPr>
            <w:tcW w:w="796" w:type="dxa"/>
            <w:tcBorders>
              <w:top w:val="nil"/>
              <w:left w:val="nil"/>
              <w:bottom w:val="nil"/>
              <w:right w:val="nil"/>
            </w:tcBorders>
            <w:noWrap/>
            <w:vAlign w:val="center"/>
            <w:hideMark/>
          </w:tcPr>
          <w:p w14:paraId="14123ADA"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0.8%</w:t>
            </w:r>
          </w:p>
        </w:tc>
        <w:tc>
          <w:tcPr>
            <w:tcW w:w="1297" w:type="dxa"/>
            <w:tcBorders>
              <w:top w:val="nil"/>
              <w:left w:val="nil"/>
              <w:bottom w:val="nil"/>
              <w:right w:val="nil"/>
            </w:tcBorders>
            <w:noWrap/>
            <w:vAlign w:val="center"/>
            <w:hideMark/>
          </w:tcPr>
          <w:p w14:paraId="1A686B34"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757" w:type="dxa"/>
            <w:gridSpan w:val="2"/>
            <w:tcBorders>
              <w:top w:val="nil"/>
              <w:left w:val="nil"/>
              <w:bottom w:val="nil"/>
              <w:right w:val="nil"/>
            </w:tcBorders>
            <w:noWrap/>
            <w:vAlign w:val="center"/>
            <w:hideMark/>
          </w:tcPr>
          <w:p w14:paraId="32E5719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312" w:type="dxa"/>
            <w:gridSpan w:val="2"/>
            <w:tcBorders>
              <w:top w:val="nil"/>
              <w:left w:val="nil"/>
              <w:bottom w:val="nil"/>
              <w:right w:val="nil"/>
            </w:tcBorders>
            <w:noWrap/>
            <w:vAlign w:val="center"/>
            <w:hideMark/>
          </w:tcPr>
          <w:p w14:paraId="2743CDE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040" w:type="dxa"/>
            <w:vAlign w:val="center"/>
          </w:tcPr>
          <w:p w14:paraId="65528832" w14:textId="747D362C"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0.7%</w:t>
            </w:r>
          </w:p>
        </w:tc>
      </w:tr>
      <w:tr w:rsidR="00186D53" w:rsidRPr="00EE361A" w14:paraId="254A8D78" w14:textId="6BA84D76" w:rsidTr="00186D53">
        <w:trPr>
          <w:trHeight w:val="318"/>
        </w:trPr>
        <w:tc>
          <w:tcPr>
            <w:tcW w:w="1467" w:type="dxa"/>
            <w:tcBorders>
              <w:top w:val="nil"/>
              <w:left w:val="nil"/>
              <w:bottom w:val="nil"/>
              <w:right w:val="nil"/>
            </w:tcBorders>
            <w:noWrap/>
            <w:vAlign w:val="bottom"/>
            <w:hideMark/>
          </w:tcPr>
          <w:p w14:paraId="5C90152E"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Economic Actors</w:t>
            </w:r>
          </w:p>
        </w:tc>
        <w:tc>
          <w:tcPr>
            <w:tcW w:w="1437" w:type="dxa"/>
            <w:tcBorders>
              <w:top w:val="nil"/>
              <w:left w:val="nil"/>
              <w:bottom w:val="nil"/>
              <w:right w:val="nil"/>
            </w:tcBorders>
            <w:noWrap/>
            <w:vAlign w:val="center"/>
            <w:hideMark/>
          </w:tcPr>
          <w:p w14:paraId="1E89801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5.6%</w:t>
            </w:r>
          </w:p>
        </w:tc>
        <w:tc>
          <w:tcPr>
            <w:tcW w:w="1115" w:type="dxa"/>
            <w:tcBorders>
              <w:top w:val="nil"/>
              <w:left w:val="nil"/>
              <w:bottom w:val="nil"/>
              <w:right w:val="nil"/>
            </w:tcBorders>
            <w:noWrap/>
            <w:vAlign w:val="center"/>
            <w:hideMark/>
          </w:tcPr>
          <w:p w14:paraId="1C02FDC5"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2.2%</w:t>
            </w:r>
          </w:p>
        </w:tc>
        <w:tc>
          <w:tcPr>
            <w:tcW w:w="879" w:type="dxa"/>
            <w:tcBorders>
              <w:top w:val="nil"/>
              <w:left w:val="nil"/>
              <w:bottom w:val="nil"/>
              <w:right w:val="nil"/>
            </w:tcBorders>
            <w:noWrap/>
            <w:vAlign w:val="center"/>
            <w:hideMark/>
          </w:tcPr>
          <w:p w14:paraId="39CE302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1.8%</w:t>
            </w:r>
          </w:p>
        </w:tc>
        <w:tc>
          <w:tcPr>
            <w:tcW w:w="890" w:type="dxa"/>
            <w:tcBorders>
              <w:top w:val="nil"/>
              <w:left w:val="nil"/>
              <w:bottom w:val="nil"/>
              <w:right w:val="nil"/>
            </w:tcBorders>
            <w:noWrap/>
            <w:vAlign w:val="center"/>
            <w:hideMark/>
          </w:tcPr>
          <w:p w14:paraId="3619395B"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7.3%</w:t>
            </w:r>
          </w:p>
        </w:tc>
        <w:tc>
          <w:tcPr>
            <w:tcW w:w="796" w:type="dxa"/>
            <w:tcBorders>
              <w:top w:val="nil"/>
              <w:left w:val="nil"/>
              <w:bottom w:val="nil"/>
              <w:right w:val="nil"/>
            </w:tcBorders>
            <w:noWrap/>
            <w:vAlign w:val="center"/>
            <w:hideMark/>
          </w:tcPr>
          <w:p w14:paraId="00BA29F6"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1.6%</w:t>
            </w:r>
          </w:p>
        </w:tc>
        <w:tc>
          <w:tcPr>
            <w:tcW w:w="1297" w:type="dxa"/>
            <w:tcBorders>
              <w:top w:val="nil"/>
              <w:left w:val="nil"/>
              <w:bottom w:val="nil"/>
              <w:right w:val="nil"/>
            </w:tcBorders>
            <w:noWrap/>
            <w:vAlign w:val="center"/>
            <w:hideMark/>
          </w:tcPr>
          <w:p w14:paraId="00E863F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12.4%</w:t>
            </w:r>
          </w:p>
        </w:tc>
        <w:tc>
          <w:tcPr>
            <w:tcW w:w="757" w:type="dxa"/>
            <w:gridSpan w:val="2"/>
            <w:tcBorders>
              <w:top w:val="nil"/>
              <w:left w:val="nil"/>
              <w:bottom w:val="nil"/>
              <w:right w:val="nil"/>
            </w:tcBorders>
            <w:noWrap/>
            <w:vAlign w:val="center"/>
            <w:hideMark/>
          </w:tcPr>
          <w:p w14:paraId="6E4EB00C"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1.6%</w:t>
            </w:r>
          </w:p>
        </w:tc>
        <w:tc>
          <w:tcPr>
            <w:tcW w:w="1312" w:type="dxa"/>
            <w:gridSpan w:val="2"/>
            <w:tcBorders>
              <w:top w:val="nil"/>
              <w:left w:val="nil"/>
              <w:bottom w:val="nil"/>
              <w:right w:val="nil"/>
            </w:tcBorders>
            <w:noWrap/>
            <w:vAlign w:val="center"/>
            <w:hideMark/>
          </w:tcPr>
          <w:p w14:paraId="5BC4BB1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3.8%</w:t>
            </w:r>
          </w:p>
        </w:tc>
        <w:tc>
          <w:tcPr>
            <w:tcW w:w="1040" w:type="dxa"/>
            <w:vAlign w:val="center"/>
          </w:tcPr>
          <w:p w14:paraId="32B0A466" w14:textId="02942A5A"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4.9%</w:t>
            </w:r>
          </w:p>
        </w:tc>
      </w:tr>
      <w:tr w:rsidR="00186D53" w:rsidRPr="00EE361A" w14:paraId="2431C917" w14:textId="0CA38A51" w:rsidTr="00186D53">
        <w:trPr>
          <w:trHeight w:val="318"/>
        </w:trPr>
        <w:tc>
          <w:tcPr>
            <w:tcW w:w="1467" w:type="dxa"/>
            <w:tcBorders>
              <w:top w:val="nil"/>
              <w:left w:val="nil"/>
              <w:bottom w:val="nil"/>
              <w:right w:val="nil"/>
            </w:tcBorders>
            <w:noWrap/>
            <w:vAlign w:val="bottom"/>
            <w:hideMark/>
          </w:tcPr>
          <w:p w14:paraId="3821F0D6"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Labor organizations and groups</w:t>
            </w:r>
          </w:p>
        </w:tc>
        <w:tc>
          <w:tcPr>
            <w:tcW w:w="1437" w:type="dxa"/>
            <w:tcBorders>
              <w:top w:val="nil"/>
              <w:left w:val="nil"/>
              <w:bottom w:val="nil"/>
              <w:right w:val="nil"/>
            </w:tcBorders>
            <w:noWrap/>
            <w:vAlign w:val="center"/>
            <w:hideMark/>
          </w:tcPr>
          <w:p w14:paraId="09211D15"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1.8%</w:t>
            </w:r>
          </w:p>
        </w:tc>
        <w:tc>
          <w:tcPr>
            <w:tcW w:w="1115" w:type="dxa"/>
            <w:tcBorders>
              <w:top w:val="nil"/>
              <w:left w:val="nil"/>
              <w:bottom w:val="nil"/>
              <w:right w:val="nil"/>
            </w:tcBorders>
            <w:noWrap/>
            <w:vAlign w:val="center"/>
            <w:hideMark/>
          </w:tcPr>
          <w:p w14:paraId="5665723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879" w:type="dxa"/>
            <w:tcBorders>
              <w:top w:val="nil"/>
              <w:left w:val="nil"/>
              <w:bottom w:val="nil"/>
              <w:right w:val="nil"/>
            </w:tcBorders>
            <w:noWrap/>
            <w:vAlign w:val="center"/>
            <w:hideMark/>
          </w:tcPr>
          <w:p w14:paraId="0CDB7BAE"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0.6%</w:t>
            </w:r>
          </w:p>
        </w:tc>
        <w:tc>
          <w:tcPr>
            <w:tcW w:w="890" w:type="dxa"/>
            <w:tcBorders>
              <w:top w:val="nil"/>
              <w:left w:val="nil"/>
              <w:bottom w:val="nil"/>
              <w:right w:val="nil"/>
            </w:tcBorders>
            <w:noWrap/>
            <w:vAlign w:val="center"/>
            <w:hideMark/>
          </w:tcPr>
          <w:p w14:paraId="5B24719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1.3%</w:t>
            </w:r>
          </w:p>
        </w:tc>
        <w:tc>
          <w:tcPr>
            <w:tcW w:w="796" w:type="dxa"/>
            <w:tcBorders>
              <w:top w:val="nil"/>
              <w:left w:val="nil"/>
              <w:bottom w:val="nil"/>
              <w:right w:val="nil"/>
            </w:tcBorders>
            <w:noWrap/>
            <w:vAlign w:val="center"/>
            <w:hideMark/>
          </w:tcPr>
          <w:p w14:paraId="202599B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297" w:type="dxa"/>
            <w:tcBorders>
              <w:top w:val="nil"/>
              <w:left w:val="nil"/>
              <w:bottom w:val="nil"/>
              <w:right w:val="nil"/>
            </w:tcBorders>
            <w:noWrap/>
            <w:vAlign w:val="center"/>
            <w:hideMark/>
          </w:tcPr>
          <w:p w14:paraId="5D87241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0.8%</w:t>
            </w:r>
          </w:p>
        </w:tc>
        <w:tc>
          <w:tcPr>
            <w:tcW w:w="757" w:type="dxa"/>
            <w:gridSpan w:val="2"/>
            <w:tcBorders>
              <w:top w:val="nil"/>
              <w:left w:val="nil"/>
              <w:bottom w:val="nil"/>
              <w:right w:val="nil"/>
            </w:tcBorders>
            <w:noWrap/>
            <w:vAlign w:val="center"/>
            <w:hideMark/>
          </w:tcPr>
          <w:p w14:paraId="247FCCE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312" w:type="dxa"/>
            <w:gridSpan w:val="2"/>
            <w:tcBorders>
              <w:top w:val="nil"/>
              <w:left w:val="nil"/>
              <w:bottom w:val="nil"/>
              <w:right w:val="nil"/>
            </w:tcBorders>
            <w:noWrap/>
            <w:vAlign w:val="center"/>
            <w:hideMark/>
          </w:tcPr>
          <w:p w14:paraId="55E3EE1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7.7%</w:t>
            </w:r>
          </w:p>
        </w:tc>
        <w:tc>
          <w:tcPr>
            <w:tcW w:w="1040" w:type="dxa"/>
            <w:vAlign w:val="center"/>
          </w:tcPr>
          <w:p w14:paraId="78FDF740" w14:textId="0929759F"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1.2%</w:t>
            </w:r>
          </w:p>
        </w:tc>
      </w:tr>
      <w:tr w:rsidR="00186D53" w:rsidRPr="00EE361A" w14:paraId="0BF7F6FD" w14:textId="3D5EF22C" w:rsidTr="00186D53">
        <w:trPr>
          <w:trHeight w:val="318"/>
        </w:trPr>
        <w:tc>
          <w:tcPr>
            <w:tcW w:w="1467" w:type="dxa"/>
            <w:tcBorders>
              <w:top w:val="nil"/>
              <w:left w:val="nil"/>
              <w:bottom w:val="nil"/>
              <w:right w:val="nil"/>
            </w:tcBorders>
            <w:noWrap/>
            <w:vAlign w:val="bottom"/>
            <w:hideMark/>
          </w:tcPr>
          <w:p w14:paraId="24FC3DF1"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Health related actors</w:t>
            </w:r>
          </w:p>
        </w:tc>
        <w:tc>
          <w:tcPr>
            <w:tcW w:w="1437" w:type="dxa"/>
            <w:tcBorders>
              <w:top w:val="nil"/>
              <w:left w:val="nil"/>
              <w:bottom w:val="nil"/>
              <w:right w:val="nil"/>
            </w:tcBorders>
            <w:noWrap/>
            <w:vAlign w:val="center"/>
            <w:hideMark/>
          </w:tcPr>
          <w:p w14:paraId="7BE0FE1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3.8%</w:t>
            </w:r>
          </w:p>
        </w:tc>
        <w:tc>
          <w:tcPr>
            <w:tcW w:w="1115" w:type="dxa"/>
            <w:tcBorders>
              <w:top w:val="nil"/>
              <w:left w:val="nil"/>
              <w:bottom w:val="nil"/>
              <w:right w:val="nil"/>
            </w:tcBorders>
            <w:noWrap/>
            <w:vAlign w:val="center"/>
            <w:hideMark/>
          </w:tcPr>
          <w:p w14:paraId="017FE93C"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5.3%</w:t>
            </w:r>
          </w:p>
        </w:tc>
        <w:tc>
          <w:tcPr>
            <w:tcW w:w="879" w:type="dxa"/>
            <w:tcBorders>
              <w:top w:val="nil"/>
              <w:left w:val="nil"/>
              <w:bottom w:val="nil"/>
              <w:right w:val="nil"/>
            </w:tcBorders>
            <w:noWrap/>
            <w:vAlign w:val="center"/>
            <w:hideMark/>
          </w:tcPr>
          <w:p w14:paraId="23235D7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4.7%</w:t>
            </w:r>
          </w:p>
        </w:tc>
        <w:tc>
          <w:tcPr>
            <w:tcW w:w="890" w:type="dxa"/>
            <w:tcBorders>
              <w:top w:val="nil"/>
              <w:left w:val="nil"/>
              <w:bottom w:val="nil"/>
              <w:right w:val="nil"/>
            </w:tcBorders>
            <w:noWrap/>
            <w:vAlign w:val="center"/>
            <w:hideMark/>
          </w:tcPr>
          <w:p w14:paraId="1EC580B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5.3%</w:t>
            </w:r>
          </w:p>
        </w:tc>
        <w:tc>
          <w:tcPr>
            <w:tcW w:w="796" w:type="dxa"/>
            <w:tcBorders>
              <w:top w:val="nil"/>
              <w:left w:val="nil"/>
              <w:bottom w:val="nil"/>
              <w:right w:val="nil"/>
            </w:tcBorders>
            <w:noWrap/>
            <w:vAlign w:val="center"/>
            <w:hideMark/>
          </w:tcPr>
          <w:p w14:paraId="19E6B8D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0.8%</w:t>
            </w:r>
          </w:p>
        </w:tc>
        <w:tc>
          <w:tcPr>
            <w:tcW w:w="1297" w:type="dxa"/>
            <w:tcBorders>
              <w:top w:val="nil"/>
              <w:left w:val="nil"/>
              <w:bottom w:val="nil"/>
              <w:right w:val="nil"/>
            </w:tcBorders>
            <w:noWrap/>
            <w:vAlign w:val="center"/>
            <w:hideMark/>
          </w:tcPr>
          <w:p w14:paraId="434DEA95"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1.6%</w:t>
            </w:r>
          </w:p>
        </w:tc>
        <w:tc>
          <w:tcPr>
            <w:tcW w:w="757" w:type="dxa"/>
            <w:gridSpan w:val="2"/>
            <w:tcBorders>
              <w:top w:val="nil"/>
              <w:left w:val="nil"/>
              <w:bottom w:val="nil"/>
              <w:right w:val="nil"/>
            </w:tcBorders>
            <w:noWrap/>
            <w:vAlign w:val="center"/>
            <w:hideMark/>
          </w:tcPr>
          <w:p w14:paraId="1F2D297D"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1.6%</w:t>
            </w:r>
          </w:p>
        </w:tc>
        <w:tc>
          <w:tcPr>
            <w:tcW w:w="1312" w:type="dxa"/>
            <w:gridSpan w:val="2"/>
            <w:tcBorders>
              <w:top w:val="nil"/>
              <w:left w:val="nil"/>
              <w:bottom w:val="nil"/>
              <w:right w:val="nil"/>
            </w:tcBorders>
            <w:noWrap/>
            <w:vAlign w:val="center"/>
            <w:hideMark/>
          </w:tcPr>
          <w:p w14:paraId="229D69FE"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040" w:type="dxa"/>
            <w:vAlign w:val="center"/>
          </w:tcPr>
          <w:p w14:paraId="7E7D46EA" w14:textId="16920DB6"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3.8%</w:t>
            </w:r>
          </w:p>
        </w:tc>
      </w:tr>
      <w:tr w:rsidR="00186D53" w:rsidRPr="00EE361A" w14:paraId="1B5B0EB2" w14:textId="3579DCE7" w:rsidTr="00186D53">
        <w:trPr>
          <w:trHeight w:val="318"/>
        </w:trPr>
        <w:tc>
          <w:tcPr>
            <w:tcW w:w="1467" w:type="dxa"/>
            <w:tcBorders>
              <w:top w:val="nil"/>
              <w:left w:val="nil"/>
              <w:bottom w:val="nil"/>
              <w:right w:val="nil"/>
            </w:tcBorders>
            <w:noWrap/>
            <w:vAlign w:val="bottom"/>
            <w:hideMark/>
          </w:tcPr>
          <w:p w14:paraId="42CB06DA"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Society and Civil society Actors</w:t>
            </w:r>
          </w:p>
        </w:tc>
        <w:tc>
          <w:tcPr>
            <w:tcW w:w="1437" w:type="dxa"/>
            <w:tcBorders>
              <w:top w:val="nil"/>
              <w:left w:val="nil"/>
              <w:bottom w:val="nil"/>
              <w:right w:val="nil"/>
            </w:tcBorders>
            <w:noWrap/>
            <w:vAlign w:val="center"/>
            <w:hideMark/>
          </w:tcPr>
          <w:p w14:paraId="01D2A2DB"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62.2%</w:t>
            </w:r>
          </w:p>
        </w:tc>
        <w:tc>
          <w:tcPr>
            <w:tcW w:w="1115" w:type="dxa"/>
            <w:tcBorders>
              <w:top w:val="nil"/>
              <w:left w:val="nil"/>
              <w:bottom w:val="nil"/>
              <w:right w:val="nil"/>
            </w:tcBorders>
            <w:noWrap/>
            <w:vAlign w:val="center"/>
            <w:hideMark/>
          </w:tcPr>
          <w:p w14:paraId="08BE4DE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56.0%</w:t>
            </w:r>
          </w:p>
        </w:tc>
        <w:tc>
          <w:tcPr>
            <w:tcW w:w="879" w:type="dxa"/>
            <w:tcBorders>
              <w:top w:val="nil"/>
              <w:left w:val="nil"/>
              <w:bottom w:val="nil"/>
              <w:right w:val="nil"/>
            </w:tcBorders>
            <w:noWrap/>
            <w:vAlign w:val="center"/>
            <w:hideMark/>
          </w:tcPr>
          <w:p w14:paraId="07BE6B9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50.3%</w:t>
            </w:r>
          </w:p>
        </w:tc>
        <w:tc>
          <w:tcPr>
            <w:tcW w:w="890" w:type="dxa"/>
            <w:tcBorders>
              <w:top w:val="nil"/>
              <w:left w:val="nil"/>
              <w:bottom w:val="nil"/>
              <w:right w:val="nil"/>
            </w:tcBorders>
            <w:noWrap/>
            <w:vAlign w:val="center"/>
            <w:hideMark/>
          </w:tcPr>
          <w:p w14:paraId="2F312DF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35.3%</w:t>
            </w:r>
          </w:p>
        </w:tc>
        <w:tc>
          <w:tcPr>
            <w:tcW w:w="796" w:type="dxa"/>
            <w:tcBorders>
              <w:top w:val="nil"/>
              <w:left w:val="nil"/>
              <w:bottom w:val="nil"/>
              <w:right w:val="nil"/>
            </w:tcBorders>
            <w:noWrap/>
            <w:vAlign w:val="center"/>
            <w:hideMark/>
          </w:tcPr>
          <w:p w14:paraId="0CBD7CA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4.9%</w:t>
            </w:r>
          </w:p>
        </w:tc>
        <w:tc>
          <w:tcPr>
            <w:tcW w:w="1297" w:type="dxa"/>
            <w:tcBorders>
              <w:top w:val="nil"/>
              <w:left w:val="nil"/>
              <w:bottom w:val="nil"/>
              <w:right w:val="nil"/>
            </w:tcBorders>
            <w:noWrap/>
            <w:vAlign w:val="center"/>
            <w:hideMark/>
          </w:tcPr>
          <w:p w14:paraId="5C640BC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41.9%</w:t>
            </w:r>
          </w:p>
        </w:tc>
        <w:tc>
          <w:tcPr>
            <w:tcW w:w="757" w:type="dxa"/>
            <w:gridSpan w:val="2"/>
            <w:tcBorders>
              <w:top w:val="nil"/>
              <w:left w:val="nil"/>
              <w:bottom w:val="nil"/>
              <w:right w:val="nil"/>
            </w:tcBorders>
            <w:noWrap/>
            <w:vAlign w:val="center"/>
            <w:hideMark/>
          </w:tcPr>
          <w:p w14:paraId="0523B2F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41.3%</w:t>
            </w:r>
          </w:p>
        </w:tc>
        <w:tc>
          <w:tcPr>
            <w:tcW w:w="1312" w:type="dxa"/>
            <w:gridSpan w:val="2"/>
            <w:tcBorders>
              <w:top w:val="nil"/>
              <w:left w:val="nil"/>
              <w:bottom w:val="nil"/>
              <w:right w:val="nil"/>
            </w:tcBorders>
            <w:noWrap/>
            <w:vAlign w:val="center"/>
            <w:hideMark/>
          </w:tcPr>
          <w:p w14:paraId="4595B55A"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3.8%</w:t>
            </w:r>
          </w:p>
        </w:tc>
        <w:tc>
          <w:tcPr>
            <w:tcW w:w="1040" w:type="dxa"/>
            <w:vAlign w:val="center"/>
          </w:tcPr>
          <w:p w14:paraId="1F1C50A7" w14:textId="7C24CB62"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51.4%</w:t>
            </w:r>
          </w:p>
        </w:tc>
      </w:tr>
      <w:tr w:rsidR="00186D53" w:rsidRPr="00EE361A" w14:paraId="66504681" w14:textId="61AE46FC" w:rsidTr="00186D53">
        <w:trPr>
          <w:trHeight w:val="318"/>
        </w:trPr>
        <w:tc>
          <w:tcPr>
            <w:tcW w:w="1467" w:type="dxa"/>
            <w:tcBorders>
              <w:top w:val="nil"/>
              <w:left w:val="nil"/>
              <w:bottom w:val="nil"/>
              <w:right w:val="nil"/>
            </w:tcBorders>
            <w:noWrap/>
            <w:vAlign w:val="bottom"/>
            <w:hideMark/>
          </w:tcPr>
          <w:p w14:paraId="0F4F83B5"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Education – Science related actors</w:t>
            </w:r>
          </w:p>
        </w:tc>
        <w:tc>
          <w:tcPr>
            <w:tcW w:w="1437" w:type="dxa"/>
            <w:tcBorders>
              <w:top w:val="nil"/>
              <w:left w:val="nil"/>
              <w:bottom w:val="nil"/>
              <w:right w:val="nil"/>
            </w:tcBorders>
            <w:noWrap/>
            <w:vAlign w:val="center"/>
            <w:hideMark/>
          </w:tcPr>
          <w:p w14:paraId="787C5D5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3.6%</w:t>
            </w:r>
          </w:p>
        </w:tc>
        <w:tc>
          <w:tcPr>
            <w:tcW w:w="1115" w:type="dxa"/>
            <w:tcBorders>
              <w:top w:val="nil"/>
              <w:left w:val="nil"/>
              <w:bottom w:val="nil"/>
              <w:right w:val="nil"/>
            </w:tcBorders>
            <w:noWrap/>
            <w:vAlign w:val="center"/>
            <w:hideMark/>
          </w:tcPr>
          <w:p w14:paraId="5615C159"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0.6%</w:t>
            </w:r>
          </w:p>
        </w:tc>
        <w:tc>
          <w:tcPr>
            <w:tcW w:w="879" w:type="dxa"/>
            <w:tcBorders>
              <w:top w:val="nil"/>
              <w:left w:val="nil"/>
              <w:bottom w:val="nil"/>
              <w:right w:val="nil"/>
            </w:tcBorders>
            <w:noWrap/>
            <w:vAlign w:val="center"/>
            <w:hideMark/>
          </w:tcPr>
          <w:p w14:paraId="1BA75F0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4.7%</w:t>
            </w:r>
          </w:p>
        </w:tc>
        <w:tc>
          <w:tcPr>
            <w:tcW w:w="890" w:type="dxa"/>
            <w:tcBorders>
              <w:top w:val="nil"/>
              <w:left w:val="nil"/>
              <w:bottom w:val="nil"/>
              <w:right w:val="nil"/>
            </w:tcBorders>
            <w:noWrap/>
            <w:vAlign w:val="center"/>
            <w:hideMark/>
          </w:tcPr>
          <w:p w14:paraId="7EF483E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796" w:type="dxa"/>
            <w:tcBorders>
              <w:top w:val="nil"/>
              <w:left w:val="nil"/>
              <w:bottom w:val="nil"/>
              <w:right w:val="nil"/>
            </w:tcBorders>
            <w:noWrap/>
            <w:vAlign w:val="center"/>
            <w:hideMark/>
          </w:tcPr>
          <w:p w14:paraId="0574126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297" w:type="dxa"/>
            <w:tcBorders>
              <w:top w:val="nil"/>
              <w:left w:val="nil"/>
              <w:bottom w:val="nil"/>
              <w:right w:val="nil"/>
            </w:tcBorders>
            <w:noWrap/>
            <w:vAlign w:val="center"/>
            <w:hideMark/>
          </w:tcPr>
          <w:p w14:paraId="50F2ADCB"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757" w:type="dxa"/>
            <w:gridSpan w:val="2"/>
            <w:tcBorders>
              <w:top w:val="nil"/>
              <w:left w:val="nil"/>
              <w:bottom w:val="nil"/>
              <w:right w:val="nil"/>
            </w:tcBorders>
            <w:noWrap/>
            <w:vAlign w:val="center"/>
            <w:hideMark/>
          </w:tcPr>
          <w:p w14:paraId="09021D5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6.3%</w:t>
            </w:r>
          </w:p>
        </w:tc>
        <w:tc>
          <w:tcPr>
            <w:tcW w:w="1312" w:type="dxa"/>
            <w:gridSpan w:val="2"/>
            <w:tcBorders>
              <w:top w:val="nil"/>
              <w:left w:val="nil"/>
              <w:bottom w:val="nil"/>
              <w:right w:val="nil"/>
            </w:tcBorders>
            <w:noWrap/>
            <w:vAlign w:val="center"/>
            <w:hideMark/>
          </w:tcPr>
          <w:p w14:paraId="312B545D"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040" w:type="dxa"/>
            <w:vAlign w:val="center"/>
          </w:tcPr>
          <w:p w14:paraId="75E62276" w14:textId="2A9B5C1C"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2.5%</w:t>
            </w:r>
          </w:p>
        </w:tc>
      </w:tr>
      <w:tr w:rsidR="00186D53" w:rsidRPr="00EE361A" w14:paraId="7833F9E0" w14:textId="4F1B8D2C" w:rsidTr="00186D53">
        <w:trPr>
          <w:trHeight w:val="318"/>
        </w:trPr>
        <w:tc>
          <w:tcPr>
            <w:tcW w:w="1467" w:type="dxa"/>
            <w:tcBorders>
              <w:top w:val="nil"/>
              <w:left w:val="nil"/>
              <w:bottom w:val="nil"/>
              <w:right w:val="nil"/>
            </w:tcBorders>
            <w:noWrap/>
            <w:vAlign w:val="bottom"/>
            <w:hideMark/>
          </w:tcPr>
          <w:p w14:paraId="30ADB116"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Supranational actors</w:t>
            </w:r>
          </w:p>
        </w:tc>
        <w:tc>
          <w:tcPr>
            <w:tcW w:w="1437" w:type="dxa"/>
            <w:tcBorders>
              <w:top w:val="nil"/>
              <w:left w:val="nil"/>
              <w:bottom w:val="nil"/>
              <w:right w:val="nil"/>
            </w:tcBorders>
            <w:noWrap/>
            <w:vAlign w:val="center"/>
            <w:hideMark/>
          </w:tcPr>
          <w:p w14:paraId="126F53E4"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3.6%</w:t>
            </w:r>
          </w:p>
        </w:tc>
        <w:tc>
          <w:tcPr>
            <w:tcW w:w="1115" w:type="dxa"/>
            <w:tcBorders>
              <w:top w:val="nil"/>
              <w:left w:val="nil"/>
              <w:bottom w:val="nil"/>
              <w:right w:val="nil"/>
            </w:tcBorders>
            <w:noWrap/>
            <w:vAlign w:val="center"/>
            <w:hideMark/>
          </w:tcPr>
          <w:p w14:paraId="53F1FC76"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0.3%</w:t>
            </w:r>
          </w:p>
        </w:tc>
        <w:tc>
          <w:tcPr>
            <w:tcW w:w="879" w:type="dxa"/>
            <w:tcBorders>
              <w:top w:val="nil"/>
              <w:left w:val="nil"/>
              <w:bottom w:val="nil"/>
              <w:right w:val="nil"/>
            </w:tcBorders>
            <w:noWrap/>
            <w:vAlign w:val="center"/>
            <w:hideMark/>
          </w:tcPr>
          <w:p w14:paraId="056F2246"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1.8%</w:t>
            </w:r>
          </w:p>
        </w:tc>
        <w:tc>
          <w:tcPr>
            <w:tcW w:w="890" w:type="dxa"/>
            <w:tcBorders>
              <w:top w:val="nil"/>
              <w:left w:val="nil"/>
              <w:bottom w:val="nil"/>
              <w:right w:val="nil"/>
            </w:tcBorders>
            <w:noWrap/>
            <w:vAlign w:val="center"/>
            <w:hideMark/>
          </w:tcPr>
          <w:p w14:paraId="13827E05"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4.7%</w:t>
            </w:r>
          </w:p>
        </w:tc>
        <w:tc>
          <w:tcPr>
            <w:tcW w:w="796" w:type="dxa"/>
            <w:tcBorders>
              <w:top w:val="nil"/>
              <w:left w:val="nil"/>
              <w:bottom w:val="nil"/>
              <w:right w:val="nil"/>
            </w:tcBorders>
            <w:noWrap/>
            <w:vAlign w:val="center"/>
            <w:hideMark/>
          </w:tcPr>
          <w:p w14:paraId="10294E3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2.4%</w:t>
            </w:r>
          </w:p>
        </w:tc>
        <w:tc>
          <w:tcPr>
            <w:tcW w:w="1297" w:type="dxa"/>
            <w:tcBorders>
              <w:top w:val="nil"/>
              <w:left w:val="nil"/>
              <w:bottom w:val="nil"/>
              <w:right w:val="nil"/>
            </w:tcBorders>
            <w:noWrap/>
            <w:vAlign w:val="center"/>
            <w:hideMark/>
          </w:tcPr>
          <w:p w14:paraId="1BA9BFD7"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21.7%</w:t>
            </w:r>
          </w:p>
        </w:tc>
        <w:tc>
          <w:tcPr>
            <w:tcW w:w="757" w:type="dxa"/>
            <w:gridSpan w:val="2"/>
            <w:tcBorders>
              <w:top w:val="nil"/>
              <w:left w:val="nil"/>
              <w:bottom w:val="nil"/>
              <w:right w:val="nil"/>
            </w:tcBorders>
            <w:noWrap/>
            <w:vAlign w:val="center"/>
            <w:hideMark/>
          </w:tcPr>
          <w:p w14:paraId="5A314F4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1.6%</w:t>
            </w:r>
          </w:p>
        </w:tc>
        <w:tc>
          <w:tcPr>
            <w:tcW w:w="1312" w:type="dxa"/>
            <w:gridSpan w:val="2"/>
            <w:tcBorders>
              <w:top w:val="nil"/>
              <w:left w:val="nil"/>
              <w:bottom w:val="nil"/>
              <w:right w:val="nil"/>
            </w:tcBorders>
            <w:noWrap/>
            <w:vAlign w:val="center"/>
            <w:hideMark/>
          </w:tcPr>
          <w:p w14:paraId="30BA5AA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040" w:type="dxa"/>
            <w:vAlign w:val="center"/>
          </w:tcPr>
          <w:p w14:paraId="6F03B2D7" w14:textId="252976D0"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4.0%</w:t>
            </w:r>
          </w:p>
        </w:tc>
      </w:tr>
      <w:tr w:rsidR="00186D53" w:rsidRPr="00EE361A" w14:paraId="744E2170" w14:textId="7B70F833" w:rsidTr="00186D53">
        <w:trPr>
          <w:trHeight w:val="318"/>
        </w:trPr>
        <w:tc>
          <w:tcPr>
            <w:tcW w:w="1467" w:type="dxa"/>
            <w:tcBorders>
              <w:top w:val="nil"/>
              <w:left w:val="nil"/>
              <w:bottom w:val="single" w:sz="4" w:space="0" w:color="auto"/>
              <w:right w:val="nil"/>
            </w:tcBorders>
            <w:noWrap/>
            <w:vAlign w:val="bottom"/>
            <w:hideMark/>
          </w:tcPr>
          <w:p w14:paraId="7D05FE55"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No Addressee</w:t>
            </w:r>
          </w:p>
        </w:tc>
        <w:tc>
          <w:tcPr>
            <w:tcW w:w="1437" w:type="dxa"/>
            <w:tcBorders>
              <w:top w:val="nil"/>
              <w:left w:val="nil"/>
              <w:bottom w:val="single" w:sz="4" w:space="0" w:color="auto"/>
              <w:right w:val="nil"/>
            </w:tcBorders>
            <w:noWrap/>
            <w:vAlign w:val="center"/>
            <w:hideMark/>
          </w:tcPr>
          <w:p w14:paraId="69FAFBBC"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0.1%</w:t>
            </w:r>
          </w:p>
        </w:tc>
        <w:tc>
          <w:tcPr>
            <w:tcW w:w="1115" w:type="dxa"/>
            <w:tcBorders>
              <w:top w:val="nil"/>
              <w:left w:val="nil"/>
              <w:bottom w:val="single" w:sz="4" w:space="0" w:color="auto"/>
              <w:right w:val="nil"/>
            </w:tcBorders>
            <w:noWrap/>
            <w:vAlign w:val="center"/>
            <w:hideMark/>
          </w:tcPr>
          <w:p w14:paraId="5C985B0C"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0.6%</w:t>
            </w:r>
          </w:p>
        </w:tc>
        <w:tc>
          <w:tcPr>
            <w:tcW w:w="879" w:type="dxa"/>
            <w:tcBorders>
              <w:top w:val="nil"/>
              <w:left w:val="nil"/>
              <w:bottom w:val="single" w:sz="4" w:space="0" w:color="auto"/>
              <w:right w:val="nil"/>
            </w:tcBorders>
            <w:noWrap/>
            <w:vAlign w:val="center"/>
            <w:hideMark/>
          </w:tcPr>
          <w:p w14:paraId="5BE9CFF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0.6%</w:t>
            </w:r>
          </w:p>
        </w:tc>
        <w:tc>
          <w:tcPr>
            <w:tcW w:w="890" w:type="dxa"/>
            <w:tcBorders>
              <w:top w:val="nil"/>
              <w:left w:val="nil"/>
              <w:bottom w:val="single" w:sz="4" w:space="0" w:color="auto"/>
              <w:right w:val="nil"/>
            </w:tcBorders>
            <w:noWrap/>
            <w:vAlign w:val="center"/>
            <w:hideMark/>
          </w:tcPr>
          <w:p w14:paraId="33DB690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796" w:type="dxa"/>
            <w:tcBorders>
              <w:top w:val="nil"/>
              <w:left w:val="nil"/>
              <w:bottom w:val="single" w:sz="4" w:space="0" w:color="auto"/>
              <w:right w:val="nil"/>
            </w:tcBorders>
            <w:noWrap/>
            <w:vAlign w:val="center"/>
            <w:hideMark/>
          </w:tcPr>
          <w:p w14:paraId="035923E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297" w:type="dxa"/>
            <w:tcBorders>
              <w:top w:val="nil"/>
              <w:left w:val="nil"/>
              <w:bottom w:val="single" w:sz="4" w:space="0" w:color="auto"/>
              <w:right w:val="nil"/>
            </w:tcBorders>
            <w:noWrap/>
            <w:vAlign w:val="center"/>
            <w:hideMark/>
          </w:tcPr>
          <w:p w14:paraId="0DC275FD"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757" w:type="dxa"/>
            <w:gridSpan w:val="2"/>
            <w:tcBorders>
              <w:top w:val="nil"/>
              <w:left w:val="nil"/>
              <w:bottom w:val="single" w:sz="4" w:space="0" w:color="auto"/>
              <w:right w:val="nil"/>
            </w:tcBorders>
            <w:noWrap/>
            <w:vAlign w:val="center"/>
            <w:hideMark/>
          </w:tcPr>
          <w:p w14:paraId="7835191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312" w:type="dxa"/>
            <w:gridSpan w:val="2"/>
            <w:tcBorders>
              <w:top w:val="nil"/>
              <w:left w:val="nil"/>
              <w:bottom w:val="single" w:sz="4" w:space="0" w:color="auto"/>
              <w:right w:val="nil"/>
            </w:tcBorders>
            <w:noWrap/>
            <w:vAlign w:val="center"/>
            <w:hideMark/>
          </w:tcPr>
          <w:p w14:paraId="280F76D2"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w:t>
            </w:r>
          </w:p>
        </w:tc>
        <w:tc>
          <w:tcPr>
            <w:tcW w:w="1040" w:type="dxa"/>
            <w:tcBorders>
              <w:bottom w:val="single" w:sz="4" w:space="0" w:color="auto"/>
            </w:tcBorders>
            <w:vAlign w:val="center"/>
          </w:tcPr>
          <w:p w14:paraId="37EEBF6E" w14:textId="42BFDED5"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0.2%</w:t>
            </w:r>
          </w:p>
        </w:tc>
      </w:tr>
      <w:tr w:rsidR="00186D53" w:rsidRPr="00EE361A" w14:paraId="7FD9DFC6" w14:textId="46F639ED" w:rsidTr="00186D53">
        <w:trPr>
          <w:trHeight w:val="318"/>
        </w:trPr>
        <w:tc>
          <w:tcPr>
            <w:tcW w:w="1467" w:type="dxa"/>
            <w:tcBorders>
              <w:top w:val="single" w:sz="4" w:space="0" w:color="auto"/>
              <w:left w:val="nil"/>
              <w:bottom w:val="single" w:sz="4" w:space="0" w:color="auto"/>
              <w:right w:val="nil"/>
            </w:tcBorders>
            <w:noWrap/>
            <w:vAlign w:val="bottom"/>
            <w:hideMark/>
          </w:tcPr>
          <w:p w14:paraId="7465CD01" w14:textId="77777777" w:rsidR="00186D53" w:rsidRPr="00EE361A" w:rsidRDefault="00186D53" w:rsidP="00186D53">
            <w:pPr>
              <w:rPr>
                <w:rFonts w:ascii="Calibri" w:hAnsi="Calibri" w:cs="Calibri"/>
                <w:color w:val="000000"/>
                <w:sz w:val="18"/>
                <w:szCs w:val="18"/>
              </w:rPr>
            </w:pPr>
            <w:r w:rsidRPr="00EE361A">
              <w:rPr>
                <w:rFonts w:ascii="Calibri" w:hAnsi="Calibri" w:cs="Calibri"/>
                <w:color w:val="000000"/>
                <w:sz w:val="18"/>
                <w:szCs w:val="18"/>
              </w:rPr>
              <w:t>N</w:t>
            </w:r>
          </w:p>
        </w:tc>
        <w:tc>
          <w:tcPr>
            <w:tcW w:w="1437" w:type="dxa"/>
            <w:tcBorders>
              <w:top w:val="single" w:sz="4" w:space="0" w:color="auto"/>
              <w:left w:val="nil"/>
              <w:bottom w:val="single" w:sz="4" w:space="0" w:color="auto"/>
              <w:right w:val="nil"/>
            </w:tcBorders>
            <w:noWrap/>
            <w:vAlign w:val="center"/>
            <w:hideMark/>
          </w:tcPr>
          <w:p w14:paraId="0076A13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924</w:t>
            </w:r>
          </w:p>
        </w:tc>
        <w:tc>
          <w:tcPr>
            <w:tcW w:w="1115" w:type="dxa"/>
            <w:tcBorders>
              <w:top w:val="single" w:sz="4" w:space="0" w:color="auto"/>
              <w:left w:val="nil"/>
              <w:bottom w:val="single" w:sz="4" w:space="0" w:color="auto"/>
              <w:right w:val="nil"/>
            </w:tcBorders>
            <w:noWrap/>
            <w:vAlign w:val="center"/>
            <w:hideMark/>
          </w:tcPr>
          <w:p w14:paraId="62138C9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318</w:t>
            </w:r>
          </w:p>
        </w:tc>
        <w:tc>
          <w:tcPr>
            <w:tcW w:w="879" w:type="dxa"/>
            <w:tcBorders>
              <w:top w:val="single" w:sz="4" w:space="0" w:color="auto"/>
              <w:left w:val="nil"/>
              <w:bottom w:val="single" w:sz="4" w:space="0" w:color="auto"/>
              <w:right w:val="nil"/>
            </w:tcBorders>
            <w:noWrap/>
            <w:vAlign w:val="center"/>
            <w:hideMark/>
          </w:tcPr>
          <w:p w14:paraId="2304DC31"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171</w:t>
            </w:r>
          </w:p>
        </w:tc>
        <w:tc>
          <w:tcPr>
            <w:tcW w:w="890" w:type="dxa"/>
            <w:tcBorders>
              <w:top w:val="single" w:sz="4" w:space="0" w:color="auto"/>
              <w:left w:val="nil"/>
              <w:bottom w:val="single" w:sz="4" w:space="0" w:color="auto"/>
              <w:right w:val="nil"/>
            </w:tcBorders>
            <w:noWrap/>
            <w:vAlign w:val="center"/>
            <w:hideMark/>
          </w:tcPr>
          <w:p w14:paraId="0C7FFB40"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150</w:t>
            </w:r>
          </w:p>
        </w:tc>
        <w:tc>
          <w:tcPr>
            <w:tcW w:w="796" w:type="dxa"/>
            <w:tcBorders>
              <w:top w:val="single" w:sz="4" w:space="0" w:color="auto"/>
              <w:left w:val="nil"/>
              <w:bottom w:val="single" w:sz="4" w:space="0" w:color="auto"/>
              <w:right w:val="nil"/>
            </w:tcBorders>
            <w:noWrap/>
            <w:vAlign w:val="center"/>
            <w:hideMark/>
          </w:tcPr>
          <w:p w14:paraId="24D6899D"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123</w:t>
            </w:r>
          </w:p>
        </w:tc>
        <w:tc>
          <w:tcPr>
            <w:tcW w:w="1297" w:type="dxa"/>
            <w:tcBorders>
              <w:top w:val="single" w:sz="4" w:space="0" w:color="auto"/>
              <w:left w:val="nil"/>
              <w:bottom w:val="single" w:sz="4" w:space="0" w:color="auto"/>
              <w:right w:val="nil"/>
            </w:tcBorders>
            <w:noWrap/>
            <w:vAlign w:val="center"/>
            <w:hideMark/>
          </w:tcPr>
          <w:p w14:paraId="556A0AD3"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129</w:t>
            </w:r>
          </w:p>
        </w:tc>
        <w:tc>
          <w:tcPr>
            <w:tcW w:w="757" w:type="dxa"/>
            <w:gridSpan w:val="2"/>
            <w:tcBorders>
              <w:top w:val="single" w:sz="4" w:space="0" w:color="auto"/>
              <w:left w:val="nil"/>
              <w:bottom w:val="single" w:sz="4" w:space="0" w:color="auto"/>
              <w:right w:val="nil"/>
            </w:tcBorders>
            <w:noWrap/>
            <w:vAlign w:val="center"/>
            <w:hideMark/>
          </w:tcPr>
          <w:p w14:paraId="602E22BB"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63</w:t>
            </w:r>
          </w:p>
        </w:tc>
        <w:tc>
          <w:tcPr>
            <w:tcW w:w="1312" w:type="dxa"/>
            <w:gridSpan w:val="2"/>
            <w:tcBorders>
              <w:top w:val="single" w:sz="4" w:space="0" w:color="auto"/>
              <w:left w:val="nil"/>
              <w:bottom w:val="single" w:sz="4" w:space="0" w:color="auto"/>
              <w:right w:val="nil"/>
            </w:tcBorders>
            <w:noWrap/>
            <w:vAlign w:val="center"/>
            <w:hideMark/>
          </w:tcPr>
          <w:p w14:paraId="64F75738" w14:textId="77777777" w:rsidR="00186D53" w:rsidRPr="00EE361A" w:rsidRDefault="00186D53" w:rsidP="00186D53">
            <w:pPr>
              <w:jc w:val="center"/>
              <w:rPr>
                <w:rFonts w:ascii="Calibri" w:hAnsi="Calibri" w:cs="Calibri"/>
                <w:color w:val="000000"/>
                <w:sz w:val="18"/>
                <w:szCs w:val="18"/>
              </w:rPr>
            </w:pPr>
            <w:r w:rsidRPr="00EE361A">
              <w:rPr>
                <w:rFonts w:ascii="Calibri" w:hAnsi="Calibri" w:cs="Calibri"/>
                <w:color w:val="000000"/>
                <w:sz w:val="18"/>
                <w:szCs w:val="18"/>
              </w:rPr>
              <w:t>26</w:t>
            </w:r>
          </w:p>
        </w:tc>
        <w:tc>
          <w:tcPr>
            <w:tcW w:w="1040" w:type="dxa"/>
            <w:tcBorders>
              <w:top w:val="single" w:sz="4" w:space="0" w:color="auto"/>
              <w:bottom w:val="single" w:sz="4" w:space="0" w:color="auto"/>
            </w:tcBorders>
            <w:vAlign w:val="center"/>
          </w:tcPr>
          <w:p w14:paraId="6F1921FF" w14:textId="49DF8F11" w:rsidR="00186D53" w:rsidRPr="00EE361A" w:rsidRDefault="00186D53" w:rsidP="00186D53">
            <w:pPr>
              <w:jc w:val="center"/>
              <w:rPr>
                <w:rFonts w:ascii="Calibri" w:hAnsi="Calibri" w:cs="Calibri"/>
                <w:color w:val="000000"/>
                <w:sz w:val="18"/>
                <w:szCs w:val="18"/>
                <w:lang w:val="el-GR"/>
              </w:rPr>
            </w:pPr>
            <w:r w:rsidRPr="00EE361A">
              <w:rPr>
                <w:rFonts w:ascii="Calibri" w:hAnsi="Calibri" w:cs="Calibri"/>
                <w:color w:val="000000"/>
                <w:sz w:val="18"/>
                <w:szCs w:val="18"/>
                <w:lang w:val="el-GR"/>
              </w:rPr>
              <w:t>1</w:t>
            </w:r>
            <w:r w:rsidR="001521C5" w:rsidRPr="00EE361A">
              <w:rPr>
                <w:rFonts w:ascii="Calibri" w:hAnsi="Calibri" w:cs="Calibri"/>
                <w:color w:val="000000"/>
                <w:sz w:val="18"/>
                <w:szCs w:val="18"/>
                <w:lang w:val="en-US"/>
              </w:rPr>
              <w:t>,</w:t>
            </w:r>
            <w:r w:rsidRPr="00EE361A">
              <w:rPr>
                <w:rFonts w:ascii="Calibri" w:hAnsi="Calibri" w:cs="Calibri"/>
                <w:color w:val="000000"/>
                <w:sz w:val="18"/>
                <w:szCs w:val="18"/>
                <w:lang w:val="el-GR"/>
              </w:rPr>
              <w:t>904</w:t>
            </w:r>
          </w:p>
        </w:tc>
      </w:tr>
    </w:tbl>
    <w:p w14:paraId="646AA65D" w14:textId="77777777" w:rsidR="0084529A" w:rsidRPr="00EE361A" w:rsidRDefault="0084529A" w:rsidP="0084529A">
      <w:pPr>
        <w:pStyle w:val="Didascalia"/>
        <w:keepNext/>
        <w:jc w:val="both"/>
        <w:rPr>
          <w:rFonts w:cstheme="minorHAnsi"/>
        </w:rPr>
      </w:pPr>
      <w:r w:rsidRPr="00EE361A">
        <w:rPr>
          <w:rFonts w:cstheme="minorHAnsi"/>
        </w:rPr>
        <w:t xml:space="preserve"> </w:t>
      </w:r>
    </w:p>
    <w:p w14:paraId="6A7D2C27" w14:textId="77777777" w:rsidR="0084529A" w:rsidRPr="00EE361A" w:rsidRDefault="0084529A" w:rsidP="0084529A">
      <w:pPr>
        <w:ind w:left="-284" w:firstLine="284"/>
        <w:jc w:val="center"/>
        <w:rPr>
          <w:rFonts w:asciiTheme="minorHAnsi" w:hAnsiTheme="minorHAnsi" w:cstheme="minorHAnsi"/>
        </w:rPr>
      </w:pPr>
    </w:p>
    <w:p w14:paraId="21B376C8" w14:textId="77777777" w:rsidR="000013C6" w:rsidRPr="00EE361A" w:rsidRDefault="000013C6" w:rsidP="0084529A">
      <w:pPr>
        <w:jc w:val="both"/>
        <w:rPr>
          <w:rFonts w:asciiTheme="minorHAnsi" w:hAnsiTheme="minorHAnsi" w:cstheme="minorHAnsi"/>
        </w:rPr>
      </w:pPr>
    </w:p>
    <w:p w14:paraId="5F13C35C" w14:textId="3652D03B"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Table 3 shows how different actors </w:t>
      </w:r>
      <w:r w:rsidR="00B10646" w:rsidRPr="00EE361A">
        <w:rPr>
          <w:rFonts w:asciiTheme="minorHAnsi" w:hAnsiTheme="minorHAnsi" w:cstheme="minorHAnsi"/>
        </w:rPr>
        <w:t>(as addre</w:t>
      </w:r>
      <w:r w:rsidR="00D328A1" w:rsidRPr="00EE361A">
        <w:rPr>
          <w:rFonts w:asciiTheme="minorHAnsi" w:hAnsiTheme="minorHAnsi" w:cstheme="minorHAnsi"/>
        </w:rPr>
        <w:t xml:space="preserve">ssees) </w:t>
      </w:r>
      <w:r w:rsidRPr="00EE361A">
        <w:rPr>
          <w:rFonts w:asciiTheme="minorHAnsi" w:hAnsiTheme="minorHAnsi" w:cstheme="minorHAnsi"/>
        </w:rPr>
        <w:t xml:space="preserve">were evaluated in political claims, distinguishing whether they were praised, blamed, or </w:t>
      </w:r>
      <w:r w:rsidR="000013C6" w:rsidRPr="00EE361A">
        <w:rPr>
          <w:rFonts w:asciiTheme="minorHAnsi" w:hAnsiTheme="minorHAnsi" w:cstheme="minorHAnsi"/>
        </w:rPr>
        <w:t>addressed through requests</w:t>
      </w:r>
      <w:r w:rsidRPr="00EE361A">
        <w:rPr>
          <w:rFonts w:asciiTheme="minorHAnsi" w:hAnsiTheme="minorHAnsi" w:cstheme="minorHAnsi"/>
        </w:rPr>
        <w:t xml:space="preserve">. When no clear stance could be identified, the claim was classified as </w:t>
      </w:r>
      <w:r w:rsidR="000013C6" w:rsidRPr="00EE361A">
        <w:rPr>
          <w:rFonts w:asciiTheme="minorHAnsi" w:hAnsiTheme="minorHAnsi" w:cstheme="minorHAnsi"/>
        </w:rPr>
        <w:t>“</w:t>
      </w:r>
      <w:r w:rsidRPr="00EE361A">
        <w:rPr>
          <w:rFonts w:asciiTheme="minorHAnsi" w:hAnsiTheme="minorHAnsi" w:cstheme="minorHAnsi"/>
        </w:rPr>
        <w:t>no evaluation</w:t>
      </w:r>
      <w:r w:rsidR="000013C6" w:rsidRPr="00EE361A">
        <w:rPr>
          <w:rFonts w:asciiTheme="minorHAnsi" w:hAnsiTheme="minorHAnsi" w:cstheme="minorHAnsi"/>
        </w:rPr>
        <w:t>”</w:t>
      </w:r>
      <w:r w:rsidRPr="00EE361A">
        <w:rPr>
          <w:rFonts w:asciiTheme="minorHAnsi" w:hAnsiTheme="minorHAnsi" w:cstheme="minorHAnsi"/>
        </w:rPr>
        <w:t>. These categories were applied consistently across all actor types to capture the direction of public communication during the pandemic. For society and civil-society actors, requests dominate</w:t>
      </w:r>
      <w:r w:rsidR="0019398A" w:rsidRPr="00EE361A">
        <w:rPr>
          <w:rFonts w:asciiTheme="minorHAnsi" w:hAnsiTheme="minorHAnsi" w:cstheme="minorHAnsi"/>
        </w:rPr>
        <w:t>d</w:t>
      </w:r>
      <w:r w:rsidRPr="00EE361A">
        <w:rPr>
          <w:rFonts w:asciiTheme="minorHAnsi" w:hAnsiTheme="minorHAnsi" w:cstheme="minorHAnsi"/>
        </w:rPr>
        <w:t xml:space="preserve"> (</w:t>
      </w:r>
      <w:r w:rsidR="00430483" w:rsidRPr="00EE361A">
        <w:rPr>
          <w:rFonts w:asciiTheme="minorHAnsi" w:hAnsiTheme="minorHAnsi" w:cstheme="minorHAnsi"/>
        </w:rPr>
        <w:t xml:space="preserve">67.9 </w:t>
      </w:r>
      <w:r w:rsidRPr="00EE361A">
        <w:rPr>
          <w:rFonts w:asciiTheme="minorHAnsi" w:hAnsiTheme="minorHAnsi" w:cstheme="minorHAnsi"/>
        </w:rPr>
        <w:t xml:space="preserve">per cent), typically urging citizens to comply with restrictions or adopt responsible behaviour. Blame appears in </w:t>
      </w:r>
      <w:r w:rsidR="00415EC2" w:rsidRPr="00EE361A">
        <w:rPr>
          <w:rFonts w:asciiTheme="minorHAnsi" w:hAnsiTheme="minorHAnsi" w:cstheme="minorHAnsi"/>
        </w:rPr>
        <w:t xml:space="preserve">15.6 </w:t>
      </w:r>
      <w:r w:rsidRPr="00EE361A">
        <w:rPr>
          <w:rFonts w:asciiTheme="minorHAnsi" w:hAnsiTheme="minorHAnsi" w:cstheme="minorHAnsi"/>
        </w:rPr>
        <w:t>per cent of claims, often linked to perceived irresponsibility or non-compliance, while praise (5 per cent) refers to civic responsibility and acts of solidarity.</w:t>
      </w:r>
    </w:p>
    <w:p w14:paraId="5EC56961" w14:textId="77777777" w:rsidR="0019398A" w:rsidRPr="00EE361A" w:rsidRDefault="0019398A" w:rsidP="0084529A">
      <w:pPr>
        <w:jc w:val="both"/>
        <w:rPr>
          <w:rFonts w:ascii="-webkit-standard" w:hAnsi="-webkit-standard"/>
          <w:color w:val="000000"/>
          <w:sz w:val="27"/>
          <w:szCs w:val="27"/>
        </w:rPr>
      </w:pPr>
    </w:p>
    <w:p w14:paraId="25A18949" w14:textId="6D775FB3" w:rsidR="0084529A" w:rsidRPr="00EE361A" w:rsidRDefault="0084529A" w:rsidP="0084529A">
      <w:pPr>
        <w:jc w:val="both"/>
        <w:rPr>
          <w:rFonts w:asciiTheme="minorHAnsi" w:hAnsiTheme="minorHAnsi" w:cstheme="minorHAnsi"/>
        </w:rPr>
      </w:pPr>
      <w:r w:rsidRPr="00EE361A">
        <w:rPr>
          <w:rFonts w:asciiTheme="minorHAnsi" w:hAnsiTheme="minorHAnsi" w:cstheme="minorHAnsi"/>
        </w:rPr>
        <w:t>In the case of state authorities, blame increased from 38 per cent in the first period to 66</w:t>
      </w:r>
      <w:r w:rsidR="00F84A16" w:rsidRPr="00EE361A">
        <w:rPr>
          <w:rFonts w:asciiTheme="minorHAnsi" w:hAnsiTheme="minorHAnsi" w:cstheme="minorHAnsi"/>
        </w:rPr>
        <w:t>.2</w:t>
      </w:r>
      <w:r w:rsidRPr="00EE361A">
        <w:rPr>
          <w:rFonts w:asciiTheme="minorHAnsi" w:hAnsiTheme="minorHAnsi" w:cstheme="minorHAnsi"/>
        </w:rPr>
        <w:t xml:space="preserve"> per cent in the third, indicating </w:t>
      </w:r>
      <w:r w:rsidR="0019398A" w:rsidRPr="00EE361A">
        <w:rPr>
          <w:rFonts w:asciiTheme="minorHAnsi" w:hAnsiTheme="minorHAnsi" w:cstheme="minorHAnsi"/>
        </w:rPr>
        <w:t xml:space="preserve">growing </w:t>
      </w:r>
      <w:r w:rsidRPr="00EE361A">
        <w:rPr>
          <w:rFonts w:asciiTheme="minorHAnsi" w:hAnsiTheme="minorHAnsi" w:cstheme="minorHAnsi"/>
        </w:rPr>
        <w:t xml:space="preserve">disagreement over pandemic management, while requests and praise declined. Supranational actors, such as the </w:t>
      </w:r>
      <w:r w:rsidR="0019398A" w:rsidRPr="00EE361A">
        <w:rPr>
          <w:rFonts w:asciiTheme="minorHAnsi" w:hAnsiTheme="minorHAnsi" w:cstheme="minorHAnsi"/>
        </w:rPr>
        <w:t>EU</w:t>
      </w:r>
      <w:r w:rsidRPr="00EE361A">
        <w:rPr>
          <w:rFonts w:asciiTheme="minorHAnsi" w:hAnsiTheme="minorHAnsi" w:cstheme="minorHAnsi"/>
        </w:rPr>
        <w:t xml:space="preserve"> and the </w:t>
      </w:r>
      <w:r w:rsidR="0019398A" w:rsidRPr="00EE361A">
        <w:rPr>
          <w:rFonts w:asciiTheme="minorHAnsi" w:hAnsiTheme="minorHAnsi" w:cstheme="minorHAnsi"/>
        </w:rPr>
        <w:t>WHO</w:t>
      </w:r>
      <w:r w:rsidRPr="00EE361A">
        <w:rPr>
          <w:rFonts w:asciiTheme="minorHAnsi" w:hAnsiTheme="minorHAnsi" w:cstheme="minorHAnsi"/>
        </w:rPr>
        <w:t>, were primarily addressed through requests (6</w:t>
      </w:r>
      <w:r w:rsidR="004052AF" w:rsidRPr="00EE361A">
        <w:rPr>
          <w:rFonts w:asciiTheme="minorHAnsi" w:hAnsiTheme="minorHAnsi" w:cstheme="minorHAnsi"/>
        </w:rPr>
        <w:t>2.9</w:t>
      </w:r>
      <w:r w:rsidRPr="00EE361A">
        <w:rPr>
          <w:rFonts w:asciiTheme="minorHAnsi" w:hAnsiTheme="minorHAnsi" w:cstheme="minorHAnsi"/>
        </w:rPr>
        <w:t xml:space="preserve"> per cent</w:t>
      </w:r>
      <w:r w:rsidR="004052AF" w:rsidRPr="00EE361A">
        <w:rPr>
          <w:rFonts w:asciiTheme="minorHAnsi" w:hAnsiTheme="minorHAnsi" w:cstheme="minorHAnsi"/>
        </w:rPr>
        <w:t xml:space="preserve"> over the entire period</w:t>
      </w:r>
      <w:r w:rsidRPr="00EE361A">
        <w:rPr>
          <w:rFonts w:asciiTheme="minorHAnsi" w:hAnsiTheme="minorHAnsi" w:cstheme="minorHAnsi"/>
        </w:rPr>
        <w:t xml:space="preserve">) calling for greater coordination and international action. Economic actors received </w:t>
      </w:r>
      <w:r w:rsidR="0019398A" w:rsidRPr="00EE361A">
        <w:rPr>
          <w:rFonts w:asciiTheme="minorHAnsi" w:hAnsiTheme="minorHAnsi" w:cstheme="minorHAnsi"/>
        </w:rPr>
        <w:t>ambivalent</w:t>
      </w:r>
      <w:r w:rsidRPr="00EE361A">
        <w:rPr>
          <w:rFonts w:asciiTheme="minorHAnsi" w:hAnsiTheme="minorHAnsi" w:cstheme="minorHAnsi"/>
        </w:rPr>
        <w:t xml:space="preserve"> evaluation</w:t>
      </w:r>
      <w:r w:rsidR="00E13C1F" w:rsidRPr="00EE361A">
        <w:rPr>
          <w:rFonts w:asciiTheme="minorHAnsi" w:hAnsiTheme="minorHAnsi" w:cstheme="minorHAnsi"/>
        </w:rPr>
        <w:t>s</w:t>
      </w:r>
      <w:r w:rsidRPr="00EE361A">
        <w:rPr>
          <w:rFonts w:asciiTheme="minorHAnsi" w:hAnsiTheme="minorHAnsi" w:cstheme="minorHAnsi"/>
        </w:rPr>
        <w:t>, with praise (30 per cent) for cooperation and compliance and blame (</w:t>
      </w:r>
      <w:r w:rsidR="00E13C1F" w:rsidRPr="00EE361A">
        <w:rPr>
          <w:rFonts w:asciiTheme="minorHAnsi" w:hAnsiTheme="minorHAnsi" w:cstheme="minorHAnsi"/>
        </w:rPr>
        <w:t xml:space="preserve">31.7 </w:t>
      </w:r>
      <w:r w:rsidRPr="00EE361A">
        <w:rPr>
          <w:rFonts w:asciiTheme="minorHAnsi" w:hAnsiTheme="minorHAnsi" w:cstheme="minorHAnsi"/>
        </w:rPr>
        <w:t>per cent) for actions perceived as conflicting with government measures.</w:t>
      </w:r>
    </w:p>
    <w:p w14:paraId="2DE67C38" w14:textId="77777777" w:rsidR="0019398A" w:rsidRPr="00EE361A" w:rsidRDefault="0019398A" w:rsidP="0084529A">
      <w:pPr>
        <w:jc w:val="both"/>
        <w:rPr>
          <w:rFonts w:ascii="-webkit-standard" w:hAnsi="-webkit-standard"/>
          <w:color w:val="000000"/>
          <w:sz w:val="27"/>
          <w:szCs w:val="27"/>
        </w:rPr>
      </w:pPr>
    </w:p>
    <w:p w14:paraId="37920131" w14:textId="4D252306" w:rsidR="0084529A" w:rsidRPr="00EE361A" w:rsidRDefault="0084529A" w:rsidP="0084529A">
      <w:pPr>
        <w:jc w:val="both"/>
        <w:rPr>
          <w:rFonts w:asciiTheme="minorHAnsi" w:hAnsiTheme="minorHAnsi" w:cstheme="minorHAnsi"/>
        </w:rPr>
      </w:pPr>
    </w:p>
    <w:p w14:paraId="77449288" w14:textId="77777777" w:rsidR="0084529A" w:rsidRPr="00EE361A" w:rsidRDefault="0084529A" w:rsidP="0084529A">
      <w:pPr>
        <w:pStyle w:val="Didascalia"/>
        <w:keepNext/>
        <w:jc w:val="both"/>
        <w:rPr>
          <w:rFonts w:cstheme="minorHAnsi"/>
        </w:rPr>
      </w:pPr>
      <w:r w:rsidRPr="00EE361A">
        <w:rPr>
          <w:rFonts w:cstheme="minorHAnsi"/>
        </w:rPr>
        <w:t xml:space="preserve">Table 3 Evaluation of Addressees </w:t>
      </w:r>
    </w:p>
    <w:tbl>
      <w:tblPr>
        <w:tblW w:w="9572" w:type="dxa"/>
        <w:tblInd w:w="-861" w:type="dxa"/>
        <w:tblLook w:val="04A0" w:firstRow="1" w:lastRow="0" w:firstColumn="1" w:lastColumn="0" w:noHBand="0" w:noVBand="1"/>
      </w:tblPr>
      <w:tblGrid>
        <w:gridCol w:w="1357"/>
        <w:gridCol w:w="553"/>
        <w:gridCol w:w="737"/>
        <w:gridCol w:w="834"/>
        <w:gridCol w:w="894"/>
        <w:gridCol w:w="1085"/>
        <w:gridCol w:w="649"/>
        <w:gridCol w:w="737"/>
        <w:gridCol w:w="748"/>
        <w:gridCol w:w="894"/>
        <w:gridCol w:w="1084"/>
      </w:tblGrid>
      <w:tr w:rsidR="0084529A" w:rsidRPr="00EE361A" w14:paraId="26A06F59" w14:textId="77777777" w:rsidTr="006C0C76">
        <w:trPr>
          <w:trHeight w:val="300"/>
        </w:trPr>
        <w:tc>
          <w:tcPr>
            <w:tcW w:w="5460" w:type="dxa"/>
            <w:gridSpan w:val="6"/>
            <w:tcBorders>
              <w:top w:val="single" w:sz="8" w:space="0" w:color="auto"/>
              <w:left w:val="single" w:sz="8" w:space="0" w:color="auto"/>
              <w:bottom w:val="single" w:sz="8" w:space="0" w:color="auto"/>
              <w:right w:val="single" w:sz="8" w:space="0" w:color="000000"/>
            </w:tcBorders>
            <w:vAlign w:val="center"/>
            <w:hideMark/>
          </w:tcPr>
          <w:p w14:paraId="1CB67487"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1st Period</w:t>
            </w:r>
          </w:p>
        </w:tc>
        <w:tc>
          <w:tcPr>
            <w:tcW w:w="4112" w:type="dxa"/>
            <w:gridSpan w:val="5"/>
            <w:tcBorders>
              <w:top w:val="single" w:sz="8" w:space="0" w:color="auto"/>
              <w:left w:val="nil"/>
              <w:bottom w:val="single" w:sz="8" w:space="0" w:color="auto"/>
              <w:right w:val="single" w:sz="8" w:space="0" w:color="000000"/>
            </w:tcBorders>
            <w:vAlign w:val="center"/>
            <w:hideMark/>
          </w:tcPr>
          <w:p w14:paraId="1EA121F5"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2nd period</w:t>
            </w:r>
          </w:p>
        </w:tc>
      </w:tr>
      <w:tr w:rsidR="0084529A" w:rsidRPr="00EE361A" w14:paraId="0A8753AB" w14:textId="77777777" w:rsidTr="006C0C76">
        <w:trPr>
          <w:trHeight w:val="300"/>
        </w:trPr>
        <w:tc>
          <w:tcPr>
            <w:tcW w:w="1357" w:type="dxa"/>
            <w:tcBorders>
              <w:top w:val="nil"/>
              <w:left w:val="single" w:sz="8" w:space="0" w:color="auto"/>
              <w:bottom w:val="single" w:sz="8" w:space="0" w:color="auto"/>
              <w:right w:val="nil"/>
            </w:tcBorders>
            <w:vAlign w:val="center"/>
            <w:hideMark/>
          </w:tcPr>
          <w:p w14:paraId="73DC7DC6"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w:t>
            </w:r>
          </w:p>
        </w:tc>
        <w:tc>
          <w:tcPr>
            <w:tcW w:w="553" w:type="dxa"/>
            <w:tcBorders>
              <w:top w:val="nil"/>
              <w:left w:val="nil"/>
              <w:bottom w:val="single" w:sz="8" w:space="0" w:color="auto"/>
              <w:right w:val="nil"/>
            </w:tcBorders>
            <w:vAlign w:val="center"/>
            <w:hideMark/>
          </w:tcPr>
          <w:p w14:paraId="6CD209F7"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w:t>
            </w:r>
          </w:p>
        </w:tc>
        <w:tc>
          <w:tcPr>
            <w:tcW w:w="737" w:type="dxa"/>
            <w:tcBorders>
              <w:top w:val="nil"/>
              <w:left w:val="nil"/>
              <w:bottom w:val="single" w:sz="8" w:space="0" w:color="auto"/>
              <w:right w:val="nil"/>
            </w:tcBorders>
            <w:vAlign w:val="center"/>
            <w:hideMark/>
          </w:tcPr>
          <w:p w14:paraId="50D53E4B"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Praise </w:t>
            </w:r>
          </w:p>
        </w:tc>
        <w:tc>
          <w:tcPr>
            <w:tcW w:w="834" w:type="dxa"/>
            <w:tcBorders>
              <w:top w:val="nil"/>
              <w:left w:val="nil"/>
              <w:bottom w:val="single" w:sz="8" w:space="0" w:color="auto"/>
              <w:right w:val="nil"/>
            </w:tcBorders>
            <w:vAlign w:val="center"/>
            <w:hideMark/>
          </w:tcPr>
          <w:p w14:paraId="1FC39CF0"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Blame </w:t>
            </w:r>
          </w:p>
        </w:tc>
        <w:tc>
          <w:tcPr>
            <w:tcW w:w="894" w:type="dxa"/>
            <w:tcBorders>
              <w:top w:val="nil"/>
              <w:left w:val="nil"/>
              <w:bottom w:val="single" w:sz="8" w:space="0" w:color="auto"/>
              <w:right w:val="nil"/>
            </w:tcBorders>
            <w:vAlign w:val="center"/>
            <w:hideMark/>
          </w:tcPr>
          <w:p w14:paraId="2E6866ED"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Request </w:t>
            </w:r>
          </w:p>
        </w:tc>
        <w:tc>
          <w:tcPr>
            <w:tcW w:w="1082" w:type="dxa"/>
            <w:tcBorders>
              <w:top w:val="nil"/>
              <w:left w:val="nil"/>
              <w:bottom w:val="single" w:sz="8" w:space="0" w:color="auto"/>
              <w:right w:val="single" w:sz="8" w:space="0" w:color="auto"/>
            </w:tcBorders>
            <w:vAlign w:val="center"/>
            <w:hideMark/>
          </w:tcPr>
          <w:p w14:paraId="76414D5D"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No evaluation</w:t>
            </w:r>
          </w:p>
        </w:tc>
        <w:tc>
          <w:tcPr>
            <w:tcW w:w="649" w:type="dxa"/>
            <w:tcBorders>
              <w:top w:val="nil"/>
              <w:left w:val="nil"/>
              <w:bottom w:val="single" w:sz="8" w:space="0" w:color="auto"/>
              <w:right w:val="nil"/>
            </w:tcBorders>
            <w:vAlign w:val="center"/>
            <w:hideMark/>
          </w:tcPr>
          <w:p w14:paraId="4241DCA0"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w:t>
            </w:r>
          </w:p>
        </w:tc>
        <w:tc>
          <w:tcPr>
            <w:tcW w:w="737" w:type="dxa"/>
            <w:tcBorders>
              <w:top w:val="nil"/>
              <w:left w:val="nil"/>
              <w:bottom w:val="single" w:sz="8" w:space="0" w:color="auto"/>
              <w:right w:val="nil"/>
            </w:tcBorders>
            <w:vAlign w:val="center"/>
            <w:hideMark/>
          </w:tcPr>
          <w:p w14:paraId="73B9B8EB"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Praise </w:t>
            </w:r>
          </w:p>
        </w:tc>
        <w:tc>
          <w:tcPr>
            <w:tcW w:w="748" w:type="dxa"/>
            <w:tcBorders>
              <w:top w:val="nil"/>
              <w:left w:val="nil"/>
              <w:bottom w:val="single" w:sz="8" w:space="0" w:color="auto"/>
              <w:right w:val="nil"/>
            </w:tcBorders>
            <w:vAlign w:val="center"/>
            <w:hideMark/>
          </w:tcPr>
          <w:p w14:paraId="36F8048F"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Blame </w:t>
            </w:r>
          </w:p>
        </w:tc>
        <w:tc>
          <w:tcPr>
            <w:tcW w:w="894" w:type="dxa"/>
            <w:tcBorders>
              <w:top w:val="nil"/>
              <w:left w:val="nil"/>
              <w:bottom w:val="single" w:sz="8" w:space="0" w:color="auto"/>
              <w:right w:val="nil"/>
            </w:tcBorders>
            <w:vAlign w:val="center"/>
            <w:hideMark/>
          </w:tcPr>
          <w:p w14:paraId="63D3BF15"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Request </w:t>
            </w:r>
          </w:p>
        </w:tc>
        <w:tc>
          <w:tcPr>
            <w:tcW w:w="1082" w:type="dxa"/>
            <w:tcBorders>
              <w:top w:val="nil"/>
              <w:left w:val="nil"/>
              <w:bottom w:val="single" w:sz="8" w:space="0" w:color="auto"/>
              <w:right w:val="single" w:sz="8" w:space="0" w:color="auto"/>
            </w:tcBorders>
            <w:vAlign w:val="center"/>
            <w:hideMark/>
          </w:tcPr>
          <w:p w14:paraId="4D56805D"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No evaluation</w:t>
            </w:r>
          </w:p>
        </w:tc>
      </w:tr>
      <w:tr w:rsidR="0084529A" w:rsidRPr="00EE361A" w14:paraId="57E81BF5" w14:textId="77777777" w:rsidTr="006C0C76">
        <w:trPr>
          <w:trHeight w:val="459"/>
        </w:trPr>
        <w:tc>
          <w:tcPr>
            <w:tcW w:w="1357" w:type="dxa"/>
            <w:tcBorders>
              <w:top w:val="nil"/>
              <w:left w:val="single" w:sz="8" w:space="0" w:color="auto"/>
              <w:bottom w:val="nil"/>
              <w:right w:val="nil"/>
            </w:tcBorders>
            <w:vAlign w:val="center"/>
            <w:hideMark/>
          </w:tcPr>
          <w:p w14:paraId="04A17F79"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State Actors-Authorities</w:t>
            </w:r>
          </w:p>
        </w:tc>
        <w:tc>
          <w:tcPr>
            <w:tcW w:w="553" w:type="dxa"/>
            <w:tcBorders>
              <w:top w:val="nil"/>
              <w:left w:val="nil"/>
              <w:bottom w:val="nil"/>
              <w:right w:val="nil"/>
            </w:tcBorders>
            <w:vAlign w:val="center"/>
            <w:hideMark/>
          </w:tcPr>
          <w:p w14:paraId="42A3E8D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92</w:t>
            </w:r>
          </w:p>
        </w:tc>
        <w:tc>
          <w:tcPr>
            <w:tcW w:w="737" w:type="dxa"/>
            <w:tcBorders>
              <w:top w:val="nil"/>
              <w:left w:val="nil"/>
              <w:bottom w:val="nil"/>
              <w:right w:val="nil"/>
            </w:tcBorders>
            <w:vAlign w:val="center"/>
            <w:hideMark/>
          </w:tcPr>
          <w:p w14:paraId="2528A6E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27.2%</w:t>
            </w:r>
          </w:p>
        </w:tc>
        <w:tc>
          <w:tcPr>
            <w:tcW w:w="834" w:type="dxa"/>
            <w:tcBorders>
              <w:top w:val="nil"/>
              <w:left w:val="nil"/>
              <w:bottom w:val="nil"/>
              <w:right w:val="nil"/>
            </w:tcBorders>
            <w:vAlign w:val="center"/>
            <w:hideMark/>
          </w:tcPr>
          <w:p w14:paraId="239785C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38.0%</w:t>
            </w:r>
          </w:p>
        </w:tc>
        <w:tc>
          <w:tcPr>
            <w:tcW w:w="894" w:type="dxa"/>
            <w:tcBorders>
              <w:top w:val="nil"/>
              <w:left w:val="nil"/>
              <w:bottom w:val="nil"/>
              <w:right w:val="nil"/>
            </w:tcBorders>
            <w:vAlign w:val="center"/>
            <w:hideMark/>
          </w:tcPr>
          <w:p w14:paraId="06F3A39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31.5%</w:t>
            </w:r>
          </w:p>
        </w:tc>
        <w:tc>
          <w:tcPr>
            <w:tcW w:w="1082" w:type="dxa"/>
            <w:tcBorders>
              <w:top w:val="nil"/>
              <w:left w:val="nil"/>
              <w:bottom w:val="nil"/>
              <w:right w:val="single" w:sz="8" w:space="0" w:color="auto"/>
            </w:tcBorders>
            <w:vAlign w:val="center"/>
            <w:hideMark/>
          </w:tcPr>
          <w:p w14:paraId="4BD7CD9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w:t>
            </w:r>
          </w:p>
        </w:tc>
        <w:tc>
          <w:tcPr>
            <w:tcW w:w="649" w:type="dxa"/>
            <w:tcBorders>
              <w:top w:val="nil"/>
              <w:left w:val="nil"/>
              <w:bottom w:val="nil"/>
              <w:right w:val="nil"/>
            </w:tcBorders>
            <w:vAlign w:val="center"/>
            <w:hideMark/>
          </w:tcPr>
          <w:p w14:paraId="30F61B3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242</w:t>
            </w:r>
          </w:p>
        </w:tc>
        <w:tc>
          <w:tcPr>
            <w:tcW w:w="737" w:type="dxa"/>
            <w:tcBorders>
              <w:top w:val="nil"/>
              <w:left w:val="nil"/>
              <w:bottom w:val="nil"/>
              <w:right w:val="nil"/>
            </w:tcBorders>
            <w:vAlign w:val="center"/>
            <w:hideMark/>
          </w:tcPr>
          <w:p w14:paraId="6C7F5AF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10.3%</w:t>
            </w:r>
          </w:p>
        </w:tc>
        <w:tc>
          <w:tcPr>
            <w:tcW w:w="748" w:type="dxa"/>
            <w:tcBorders>
              <w:top w:val="nil"/>
              <w:left w:val="nil"/>
              <w:bottom w:val="nil"/>
              <w:right w:val="nil"/>
            </w:tcBorders>
            <w:vAlign w:val="center"/>
            <w:hideMark/>
          </w:tcPr>
          <w:p w14:paraId="6CD14F8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55.4%</w:t>
            </w:r>
          </w:p>
        </w:tc>
        <w:tc>
          <w:tcPr>
            <w:tcW w:w="894" w:type="dxa"/>
            <w:tcBorders>
              <w:top w:val="nil"/>
              <w:left w:val="nil"/>
              <w:bottom w:val="nil"/>
              <w:right w:val="nil"/>
            </w:tcBorders>
            <w:vAlign w:val="center"/>
            <w:hideMark/>
          </w:tcPr>
          <w:p w14:paraId="34E3F44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31.0%</w:t>
            </w:r>
          </w:p>
        </w:tc>
        <w:tc>
          <w:tcPr>
            <w:tcW w:w="1082" w:type="dxa"/>
            <w:tcBorders>
              <w:top w:val="nil"/>
              <w:left w:val="nil"/>
              <w:bottom w:val="nil"/>
              <w:right w:val="single" w:sz="8" w:space="0" w:color="auto"/>
            </w:tcBorders>
            <w:vAlign w:val="center"/>
            <w:hideMark/>
          </w:tcPr>
          <w:p w14:paraId="281F681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w:t>
            </w:r>
          </w:p>
        </w:tc>
      </w:tr>
      <w:tr w:rsidR="0084529A" w:rsidRPr="00EE361A" w14:paraId="3A429D79" w14:textId="77777777" w:rsidTr="006C0C76">
        <w:trPr>
          <w:trHeight w:val="459"/>
        </w:trPr>
        <w:tc>
          <w:tcPr>
            <w:tcW w:w="1357" w:type="dxa"/>
            <w:tcBorders>
              <w:top w:val="nil"/>
              <w:left w:val="single" w:sz="8" w:space="0" w:color="auto"/>
              <w:bottom w:val="nil"/>
              <w:right w:val="nil"/>
            </w:tcBorders>
            <w:vAlign w:val="center"/>
            <w:hideMark/>
          </w:tcPr>
          <w:p w14:paraId="7E85604A"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Political actors</w:t>
            </w:r>
          </w:p>
        </w:tc>
        <w:tc>
          <w:tcPr>
            <w:tcW w:w="553" w:type="dxa"/>
            <w:tcBorders>
              <w:top w:val="nil"/>
              <w:left w:val="nil"/>
              <w:bottom w:val="nil"/>
              <w:right w:val="nil"/>
            </w:tcBorders>
            <w:vAlign w:val="center"/>
            <w:hideMark/>
          </w:tcPr>
          <w:p w14:paraId="5DCBF25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w:t>
            </w:r>
          </w:p>
        </w:tc>
        <w:tc>
          <w:tcPr>
            <w:tcW w:w="737" w:type="dxa"/>
            <w:tcBorders>
              <w:top w:val="nil"/>
              <w:left w:val="nil"/>
              <w:bottom w:val="nil"/>
              <w:right w:val="nil"/>
            </w:tcBorders>
            <w:vAlign w:val="center"/>
            <w:hideMark/>
          </w:tcPr>
          <w:p w14:paraId="741DC0C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834" w:type="dxa"/>
            <w:tcBorders>
              <w:top w:val="nil"/>
              <w:left w:val="nil"/>
              <w:bottom w:val="nil"/>
              <w:right w:val="nil"/>
            </w:tcBorders>
            <w:vAlign w:val="center"/>
            <w:hideMark/>
          </w:tcPr>
          <w:p w14:paraId="347ABC0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100.0%</w:t>
            </w:r>
          </w:p>
        </w:tc>
        <w:tc>
          <w:tcPr>
            <w:tcW w:w="894" w:type="dxa"/>
            <w:tcBorders>
              <w:top w:val="nil"/>
              <w:left w:val="nil"/>
              <w:bottom w:val="nil"/>
              <w:right w:val="nil"/>
            </w:tcBorders>
            <w:vAlign w:val="center"/>
            <w:hideMark/>
          </w:tcPr>
          <w:p w14:paraId="638C824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1082" w:type="dxa"/>
            <w:tcBorders>
              <w:top w:val="nil"/>
              <w:left w:val="nil"/>
              <w:bottom w:val="nil"/>
              <w:right w:val="single" w:sz="8" w:space="0" w:color="auto"/>
            </w:tcBorders>
            <w:vAlign w:val="center"/>
            <w:hideMark/>
          </w:tcPr>
          <w:p w14:paraId="206DE16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326D654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w:t>
            </w:r>
          </w:p>
        </w:tc>
        <w:tc>
          <w:tcPr>
            <w:tcW w:w="737" w:type="dxa"/>
            <w:tcBorders>
              <w:top w:val="nil"/>
              <w:left w:val="nil"/>
              <w:bottom w:val="nil"/>
              <w:right w:val="nil"/>
            </w:tcBorders>
            <w:vAlign w:val="center"/>
            <w:hideMark/>
          </w:tcPr>
          <w:p w14:paraId="29D2BFA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748" w:type="dxa"/>
            <w:tcBorders>
              <w:top w:val="nil"/>
              <w:left w:val="nil"/>
              <w:bottom w:val="nil"/>
              <w:right w:val="nil"/>
            </w:tcBorders>
            <w:vAlign w:val="center"/>
            <w:hideMark/>
          </w:tcPr>
          <w:p w14:paraId="150FAE0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71.4%</w:t>
            </w:r>
          </w:p>
        </w:tc>
        <w:tc>
          <w:tcPr>
            <w:tcW w:w="894" w:type="dxa"/>
            <w:tcBorders>
              <w:top w:val="nil"/>
              <w:left w:val="nil"/>
              <w:bottom w:val="nil"/>
              <w:right w:val="nil"/>
            </w:tcBorders>
            <w:vAlign w:val="center"/>
            <w:hideMark/>
          </w:tcPr>
          <w:p w14:paraId="15952C0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28.6%</w:t>
            </w:r>
          </w:p>
        </w:tc>
        <w:tc>
          <w:tcPr>
            <w:tcW w:w="1082" w:type="dxa"/>
            <w:tcBorders>
              <w:top w:val="nil"/>
              <w:left w:val="nil"/>
              <w:bottom w:val="nil"/>
              <w:right w:val="single" w:sz="8" w:space="0" w:color="auto"/>
            </w:tcBorders>
            <w:vAlign w:val="center"/>
            <w:hideMark/>
          </w:tcPr>
          <w:p w14:paraId="16C5B87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r>
      <w:tr w:rsidR="0084529A" w:rsidRPr="00EE361A" w14:paraId="7FC84AB2" w14:textId="77777777" w:rsidTr="006C0C76">
        <w:trPr>
          <w:trHeight w:val="459"/>
        </w:trPr>
        <w:tc>
          <w:tcPr>
            <w:tcW w:w="1357" w:type="dxa"/>
            <w:tcBorders>
              <w:top w:val="nil"/>
              <w:left w:val="single" w:sz="8" w:space="0" w:color="auto"/>
              <w:bottom w:val="nil"/>
              <w:right w:val="nil"/>
            </w:tcBorders>
            <w:vAlign w:val="center"/>
            <w:hideMark/>
          </w:tcPr>
          <w:p w14:paraId="28A0088B"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lastRenderedPageBreak/>
              <w:t>Economic Actors</w:t>
            </w:r>
          </w:p>
        </w:tc>
        <w:tc>
          <w:tcPr>
            <w:tcW w:w="553" w:type="dxa"/>
            <w:tcBorders>
              <w:top w:val="nil"/>
              <w:left w:val="nil"/>
              <w:bottom w:val="nil"/>
              <w:right w:val="nil"/>
            </w:tcBorders>
            <w:vAlign w:val="center"/>
            <w:hideMark/>
          </w:tcPr>
          <w:p w14:paraId="1E74915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18</w:t>
            </w:r>
          </w:p>
        </w:tc>
        <w:tc>
          <w:tcPr>
            <w:tcW w:w="737" w:type="dxa"/>
            <w:tcBorders>
              <w:top w:val="nil"/>
              <w:left w:val="nil"/>
              <w:bottom w:val="nil"/>
              <w:right w:val="nil"/>
            </w:tcBorders>
            <w:vAlign w:val="center"/>
            <w:hideMark/>
          </w:tcPr>
          <w:p w14:paraId="78F79B9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27.8%</w:t>
            </w:r>
          </w:p>
        </w:tc>
        <w:tc>
          <w:tcPr>
            <w:tcW w:w="834" w:type="dxa"/>
            <w:tcBorders>
              <w:top w:val="nil"/>
              <w:left w:val="nil"/>
              <w:bottom w:val="nil"/>
              <w:right w:val="nil"/>
            </w:tcBorders>
            <w:vAlign w:val="center"/>
            <w:hideMark/>
          </w:tcPr>
          <w:p w14:paraId="4E185DB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894" w:type="dxa"/>
            <w:tcBorders>
              <w:top w:val="nil"/>
              <w:left w:val="nil"/>
              <w:bottom w:val="nil"/>
              <w:right w:val="nil"/>
            </w:tcBorders>
            <w:vAlign w:val="center"/>
            <w:hideMark/>
          </w:tcPr>
          <w:p w14:paraId="17D05DB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1082" w:type="dxa"/>
            <w:tcBorders>
              <w:top w:val="nil"/>
              <w:left w:val="nil"/>
              <w:bottom w:val="nil"/>
              <w:right w:val="single" w:sz="8" w:space="0" w:color="auto"/>
            </w:tcBorders>
            <w:vAlign w:val="center"/>
            <w:hideMark/>
          </w:tcPr>
          <w:p w14:paraId="2FA7473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38.9%</w:t>
            </w:r>
          </w:p>
        </w:tc>
        <w:tc>
          <w:tcPr>
            <w:tcW w:w="649" w:type="dxa"/>
            <w:tcBorders>
              <w:top w:val="nil"/>
              <w:left w:val="nil"/>
              <w:bottom w:val="nil"/>
              <w:right w:val="nil"/>
            </w:tcBorders>
            <w:vAlign w:val="center"/>
            <w:hideMark/>
          </w:tcPr>
          <w:p w14:paraId="3F62C7E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29</w:t>
            </w:r>
          </w:p>
        </w:tc>
        <w:tc>
          <w:tcPr>
            <w:tcW w:w="737" w:type="dxa"/>
            <w:tcBorders>
              <w:top w:val="nil"/>
              <w:left w:val="nil"/>
              <w:bottom w:val="nil"/>
              <w:right w:val="nil"/>
            </w:tcBorders>
            <w:vAlign w:val="center"/>
            <w:hideMark/>
          </w:tcPr>
          <w:p w14:paraId="4B9B4C4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31.0%</w:t>
            </w:r>
          </w:p>
        </w:tc>
        <w:tc>
          <w:tcPr>
            <w:tcW w:w="748" w:type="dxa"/>
            <w:tcBorders>
              <w:top w:val="nil"/>
              <w:left w:val="nil"/>
              <w:bottom w:val="nil"/>
              <w:right w:val="nil"/>
            </w:tcBorders>
            <w:vAlign w:val="center"/>
            <w:hideMark/>
          </w:tcPr>
          <w:p w14:paraId="1FCACA9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34.5%</w:t>
            </w:r>
          </w:p>
        </w:tc>
        <w:tc>
          <w:tcPr>
            <w:tcW w:w="894" w:type="dxa"/>
            <w:tcBorders>
              <w:top w:val="nil"/>
              <w:left w:val="nil"/>
              <w:bottom w:val="nil"/>
              <w:right w:val="nil"/>
            </w:tcBorders>
            <w:vAlign w:val="center"/>
            <w:hideMark/>
          </w:tcPr>
          <w:p w14:paraId="41CBBC0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24.1%</w:t>
            </w:r>
          </w:p>
        </w:tc>
        <w:tc>
          <w:tcPr>
            <w:tcW w:w="1082" w:type="dxa"/>
            <w:tcBorders>
              <w:top w:val="nil"/>
              <w:left w:val="nil"/>
              <w:bottom w:val="nil"/>
              <w:right w:val="single" w:sz="8" w:space="0" w:color="auto"/>
            </w:tcBorders>
            <w:vAlign w:val="center"/>
            <w:hideMark/>
          </w:tcPr>
          <w:p w14:paraId="3FFA48D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10.3%</w:t>
            </w:r>
          </w:p>
        </w:tc>
      </w:tr>
      <w:tr w:rsidR="0084529A" w:rsidRPr="00EE361A" w14:paraId="3EBB1223" w14:textId="77777777" w:rsidTr="006C0C76">
        <w:trPr>
          <w:trHeight w:val="689"/>
        </w:trPr>
        <w:tc>
          <w:tcPr>
            <w:tcW w:w="1357" w:type="dxa"/>
            <w:tcBorders>
              <w:top w:val="nil"/>
              <w:left w:val="single" w:sz="8" w:space="0" w:color="auto"/>
              <w:bottom w:val="nil"/>
              <w:right w:val="nil"/>
            </w:tcBorders>
            <w:vAlign w:val="center"/>
            <w:hideMark/>
          </w:tcPr>
          <w:p w14:paraId="41E68786"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Labor organizations and groups</w:t>
            </w:r>
          </w:p>
        </w:tc>
        <w:tc>
          <w:tcPr>
            <w:tcW w:w="553" w:type="dxa"/>
            <w:tcBorders>
              <w:top w:val="nil"/>
              <w:left w:val="nil"/>
              <w:bottom w:val="nil"/>
              <w:right w:val="nil"/>
            </w:tcBorders>
            <w:vAlign w:val="center"/>
            <w:hideMark/>
          </w:tcPr>
          <w:p w14:paraId="43E9F91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w:t>
            </w:r>
          </w:p>
        </w:tc>
        <w:tc>
          <w:tcPr>
            <w:tcW w:w="737" w:type="dxa"/>
            <w:tcBorders>
              <w:top w:val="nil"/>
              <w:left w:val="nil"/>
              <w:bottom w:val="nil"/>
              <w:right w:val="nil"/>
            </w:tcBorders>
            <w:vAlign w:val="center"/>
            <w:hideMark/>
          </w:tcPr>
          <w:p w14:paraId="0204F5C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834" w:type="dxa"/>
            <w:tcBorders>
              <w:top w:val="nil"/>
              <w:left w:val="nil"/>
              <w:bottom w:val="nil"/>
              <w:right w:val="nil"/>
            </w:tcBorders>
            <w:vAlign w:val="center"/>
            <w:hideMark/>
          </w:tcPr>
          <w:p w14:paraId="13552BF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894" w:type="dxa"/>
            <w:tcBorders>
              <w:top w:val="nil"/>
              <w:left w:val="nil"/>
              <w:bottom w:val="nil"/>
              <w:right w:val="nil"/>
            </w:tcBorders>
            <w:vAlign w:val="center"/>
            <w:hideMark/>
          </w:tcPr>
          <w:p w14:paraId="458421F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1082" w:type="dxa"/>
            <w:tcBorders>
              <w:top w:val="nil"/>
              <w:left w:val="nil"/>
              <w:bottom w:val="nil"/>
              <w:right w:val="single" w:sz="8" w:space="0" w:color="auto"/>
            </w:tcBorders>
            <w:vAlign w:val="center"/>
            <w:hideMark/>
          </w:tcPr>
          <w:p w14:paraId="7918921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66.7%</w:t>
            </w:r>
          </w:p>
        </w:tc>
        <w:tc>
          <w:tcPr>
            <w:tcW w:w="649" w:type="dxa"/>
            <w:tcBorders>
              <w:top w:val="nil"/>
              <w:left w:val="nil"/>
              <w:bottom w:val="nil"/>
              <w:right w:val="nil"/>
            </w:tcBorders>
            <w:vAlign w:val="center"/>
            <w:hideMark/>
          </w:tcPr>
          <w:p w14:paraId="3EA887F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w:t>
            </w:r>
          </w:p>
        </w:tc>
        <w:tc>
          <w:tcPr>
            <w:tcW w:w="737" w:type="dxa"/>
            <w:tcBorders>
              <w:top w:val="nil"/>
              <w:left w:val="nil"/>
              <w:bottom w:val="nil"/>
              <w:right w:val="nil"/>
            </w:tcBorders>
            <w:vAlign w:val="center"/>
            <w:hideMark/>
          </w:tcPr>
          <w:p w14:paraId="6275F1D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748" w:type="dxa"/>
            <w:tcBorders>
              <w:top w:val="nil"/>
              <w:left w:val="nil"/>
              <w:bottom w:val="nil"/>
              <w:right w:val="nil"/>
            </w:tcBorders>
            <w:vAlign w:val="center"/>
            <w:hideMark/>
          </w:tcPr>
          <w:p w14:paraId="61CAB0E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40.0%</w:t>
            </w:r>
          </w:p>
        </w:tc>
        <w:tc>
          <w:tcPr>
            <w:tcW w:w="894" w:type="dxa"/>
            <w:tcBorders>
              <w:top w:val="nil"/>
              <w:left w:val="nil"/>
              <w:bottom w:val="nil"/>
              <w:right w:val="nil"/>
            </w:tcBorders>
            <w:vAlign w:val="center"/>
            <w:hideMark/>
          </w:tcPr>
          <w:p w14:paraId="37F1367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20.0%</w:t>
            </w:r>
          </w:p>
        </w:tc>
        <w:tc>
          <w:tcPr>
            <w:tcW w:w="1082" w:type="dxa"/>
            <w:tcBorders>
              <w:top w:val="nil"/>
              <w:left w:val="nil"/>
              <w:bottom w:val="nil"/>
              <w:right w:val="single" w:sz="8" w:space="0" w:color="auto"/>
            </w:tcBorders>
            <w:vAlign w:val="center"/>
            <w:hideMark/>
          </w:tcPr>
          <w:p w14:paraId="3BC2E43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40.0%</w:t>
            </w:r>
          </w:p>
        </w:tc>
      </w:tr>
      <w:tr w:rsidR="0084529A" w:rsidRPr="00EE361A" w14:paraId="5F0F8FC5" w14:textId="77777777" w:rsidTr="006C0C76">
        <w:trPr>
          <w:trHeight w:val="459"/>
        </w:trPr>
        <w:tc>
          <w:tcPr>
            <w:tcW w:w="1357" w:type="dxa"/>
            <w:tcBorders>
              <w:top w:val="nil"/>
              <w:left w:val="single" w:sz="8" w:space="0" w:color="auto"/>
              <w:bottom w:val="nil"/>
              <w:right w:val="nil"/>
            </w:tcBorders>
            <w:vAlign w:val="center"/>
            <w:hideMark/>
          </w:tcPr>
          <w:p w14:paraId="29B3ACF8"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Health related actors</w:t>
            </w:r>
          </w:p>
        </w:tc>
        <w:tc>
          <w:tcPr>
            <w:tcW w:w="553" w:type="dxa"/>
            <w:tcBorders>
              <w:top w:val="nil"/>
              <w:left w:val="nil"/>
              <w:bottom w:val="nil"/>
              <w:right w:val="nil"/>
            </w:tcBorders>
            <w:vAlign w:val="center"/>
            <w:hideMark/>
          </w:tcPr>
          <w:p w14:paraId="6CFF814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10</w:t>
            </w:r>
          </w:p>
        </w:tc>
        <w:tc>
          <w:tcPr>
            <w:tcW w:w="737" w:type="dxa"/>
            <w:tcBorders>
              <w:top w:val="nil"/>
              <w:left w:val="nil"/>
              <w:bottom w:val="nil"/>
              <w:right w:val="nil"/>
            </w:tcBorders>
            <w:vAlign w:val="center"/>
            <w:hideMark/>
          </w:tcPr>
          <w:p w14:paraId="210F832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60.0%</w:t>
            </w:r>
          </w:p>
        </w:tc>
        <w:tc>
          <w:tcPr>
            <w:tcW w:w="834" w:type="dxa"/>
            <w:tcBorders>
              <w:top w:val="nil"/>
              <w:left w:val="nil"/>
              <w:bottom w:val="nil"/>
              <w:right w:val="nil"/>
            </w:tcBorders>
            <w:vAlign w:val="center"/>
            <w:hideMark/>
          </w:tcPr>
          <w:p w14:paraId="6B27E48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10.0%</w:t>
            </w:r>
          </w:p>
        </w:tc>
        <w:tc>
          <w:tcPr>
            <w:tcW w:w="894" w:type="dxa"/>
            <w:tcBorders>
              <w:top w:val="nil"/>
              <w:left w:val="nil"/>
              <w:bottom w:val="nil"/>
              <w:right w:val="nil"/>
            </w:tcBorders>
            <w:vAlign w:val="center"/>
            <w:hideMark/>
          </w:tcPr>
          <w:p w14:paraId="747816E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1082" w:type="dxa"/>
            <w:tcBorders>
              <w:top w:val="nil"/>
              <w:left w:val="nil"/>
              <w:bottom w:val="nil"/>
              <w:right w:val="single" w:sz="8" w:space="0" w:color="auto"/>
            </w:tcBorders>
            <w:vAlign w:val="center"/>
            <w:hideMark/>
          </w:tcPr>
          <w:p w14:paraId="3E140E7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30.0%</w:t>
            </w:r>
          </w:p>
        </w:tc>
        <w:tc>
          <w:tcPr>
            <w:tcW w:w="649" w:type="dxa"/>
            <w:tcBorders>
              <w:top w:val="nil"/>
              <w:left w:val="nil"/>
              <w:bottom w:val="nil"/>
              <w:right w:val="nil"/>
            </w:tcBorders>
            <w:vAlign w:val="center"/>
            <w:hideMark/>
          </w:tcPr>
          <w:p w14:paraId="227B9DA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35</w:t>
            </w:r>
          </w:p>
        </w:tc>
        <w:tc>
          <w:tcPr>
            <w:tcW w:w="737" w:type="dxa"/>
            <w:tcBorders>
              <w:top w:val="nil"/>
              <w:left w:val="nil"/>
              <w:bottom w:val="nil"/>
              <w:right w:val="nil"/>
            </w:tcBorders>
            <w:vAlign w:val="center"/>
            <w:hideMark/>
          </w:tcPr>
          <w:p w14:paraId="7B5C193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34.3%</w:t>
            </w:r>
          </w:p>
        </w:tc>
        <w:tc>
          <w:tcPr>
            <w:tcW w:w="748" w:type="dxa"/>
            <w:tcBorders>
              <w:top w:val="nil"/>
              <w:left w:val="nil"/>
              <w:bottom w:val="nil"/>
              <w:right w:val="nil"/>
            </w:tcBorders>
            <w:vAlign w:val="center"/>
            <w:hideMark/>
          </w:tcPr>
          <w:p w14:paraId="1740FF8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20.0%</w:t>
            </w:r>
          </w:p>
        </w:tc>
        <w:tc>
          <w:tcPr>
            <w:tcW w:w="894" w:type="dxa"/>
            <w:tcBorders>
              <w:top w:val="nil"/>
              <w:left w:val="nil"/>
              <w:bottom w:val="nil"/>
              <w:right w:val="nil"/>
            </w:tcBorders>
            <w:vAlign w:val="center"/>
            <w:hideMark/>
          </w:tcPr>
          <w:p w14:paraId="33975A5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40.0%</w:t>
            </w:r>
          </w:p>
        </w:tc>
        <w:tc>
          <w:tcPr>
            <w:tcW w:w="1082" w:type="dxa"/>
            <w:tcBorders>
              <w:top w:val="nil"/>
              <w:left w:val="nil"/>
              <w:bottom w:val="nil"/>
              <w:right w:val="single" w:sz="8" w:space="0" w:color="auto"/>
            </w:tcBorders>
            <w:vAlign w:val="center"/>
            <w:hideMark/>
          </w:tcPr>
          <w:p w14:paraId="5072CC2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5.7%</w:t>
            </w:r>
          </w:p>
        </w:tc>
      </w:tr>
      <w:tr w:rsidR="0084529A" w:rsidRPr="00EE361A" w14:paraId="56C6C008" w14:textId="77777777" w:rsidTr="006C0C76">
        <w:trPr>
          <w:trHeight w:val="689"/>
        </w:trPr>
        <w:tc>
          <w:tcPr>
            <w:tcW w:w="1357" w:type="dxa"/>
            <w:tcBorders>
              <w:top w:val="nil"/>
              <w:left w:val="single" w:sz="8" w:space="0" w:color="auto"/>
              <w:bottom w:val="nil"/>
              <w:right w:val="nil"/>
            </w:tcBorders>
            <w:vAlign w:val="center"/>
            <w:hideMark/>
          </w:tcPr>
          <w:p w14:paraId="730B65F5"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Society and Civil society Actors</w:t>
            </w:r>
          </w:p>
        </w:tc>
        <w:tc>
          <w:tcPr>
            <w:tcW w:w="553" w:type="dxa"/>
            <w:tcBorders>
              <w:top w:val="nil"/>
              <w:left w:val="nil"/>
              <w:bottom w:val="nil"/>
              <w:right w:val="nil"/>
            </w:tcBorders>
            <w:vAlign w:val="center"/>
            <w:hideMark/>
          </w:tcPr>
          <w:p w14:paraId="17536FB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136</w:t>
            </w:r>
          </w:p>
        </w:tc>
        <w:tc>
          <w:tcPr>
            <w:tcW w:w="737" w:type="dxa"/>
            <w:tcBorders>
              <w:top w:val="nil"/>
              <w:left w:val="nil"/>
              <w:bottom w:val="nil"/>
              <w:right w:val="nil"/>
            </w:tcBorders>
            <w:vAlign w:val="center"/>
            <w:hideMark/>
          </w:tcPr>
          <w:p w14:paraId="76F0FE1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5.9%</w:t>
            </w:r>
          </w:p>
        </w:tc>
        <w:tc>
          <w:tcPr>
            <w:tcW w:w="834" w:type="dxa"/>
            <w:tcBorders>
              <w:top w:val="nil"/>
              <w:left w:val="nil"/>
              <w:bottom w:val="nil"/>
              <w:right w:val="nil"/>
            </w:tcBorders>
            <w:vAlign w:val="center"/>
            <w:hideMark/>
          </w:tcPr>
          <w:p w14:paraId="164FBC6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7.4%</w:t>
            </w:r>
          </w:p>
        </w:tc>
        <w:tc>
          <w:tcPr>
            <w:tcW w:w="894" w:type="dxa"/>
            <w:tcBorders>
              <w:top w:val="nil"/>
              <w:left w:val="nil"/>
              <w:bottom w:val="nil"/>
              <w:right w:val="nil"/>
            </w:tcBorders>
            <w:vAlign w:val="center"/>
            <w:hideMark/>
          </w:tcPr>
          <w:p w14:paraId="0BFC6AC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66.9%</w:t>
            </w:r>
          </w:p>
        </w:tc>
        <w:tc>
          <w:tcPr>
            <w:tcW w:w="1082" w:type="dxa"/>
            <w:tcBorders>
              <w:top w:val="nil"/>
              <w:left w:val="nil"/>
              <w:bottom w:val="nil"/>
              <w:right w:val="single" w:sz="8" w:space="0" w:color="auto"/>
            </w:tcBorders>
            <w:vAlign w:val="center"/>
            <w:hideMark/>
          </w:tcPr>
          <w:p w14:paraId="6D9A261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19.9%</w:t>
            </w:r>
          </w:p>
        </w:tc>
        <w:tc>
          <w:tcPr>
            <w:tcW w:w="649" w:type="dxa"/>
            <w:tcBorders>
              <w:top w:val="nil"/>
              <w:left w:val="nil"/>
              <w:bottom w:val="nil"/>
              <w:right w:val="nil"/>
            </w:tcBorders>
            <w:vAlign w:val="center"/>
            <w:hideMark/>
          </w:tcPr>
          <w:p w14:paraId="4DB3541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263</w:t>
            </w:r>
          </w:p>
        </w:tc>
        <w:tc>
          <w:tcPr>
            <w:tcW w:w="737" w:type="dxa"/>
            <w:tcBorders>
              <w:top w:val="nil"/>
              <w:left w:val="nil"/>
              <w:bottom w:val="nil"/>
              <w:right w:val="nil"/>
            </w:tcBorders>
            <w:vAlign w:val="center"/>
            <w:hideMark/>
          </w:tcPr>
          <w:p w14:paraId="73AD97D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5.7%</w:t>
            </w:r>
          </w:p>
        </w:tc>
        <w:tc>
          <w:tcPr>
            <w:tcW w:w="748" w:type="dxa"/>
            <w:tcBorders>
              <w:top w:val="nil"/>
              <w:left w:val="nil"/>
              <w:bottom w:val="nil"/>
              <w:right w:val="nil"/>
            </w:tcBorders>
            <w:vAlign w:val="center"/>
            <w:hideMark/>
          </w:tcPr>
          <w:p w14:paraId="65A7411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15.2%</w:t>
            </w:r>
          </w:p>
        </w:tc>
        <w:tc>
          <w:tcPr>
            <w:tcW w:w="894" w:type="dxa"/>
            <w:tcBorders>
              <w:top w:val="nil"/>
              <w:left w:val="nil"/>
              <w:bottom w:val="nil"/>
              <w:right w:val="nil"/>
            </w:tcBorders>
            <w:vAlign w:val="center"/>
            <w:hideMark/>
          </w:tcPr>
          <w:p w14:paraId="5C78E05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66.9%</w:t>
            </w:r>
          </w:p>
        </w:tc>
        <w:tc>
          <w:tcPr>
            <w:tcW w:w="1082" w:type="dxa"/>
            <w:tcBorders>
              <w:top w:val="nil"/>
              <w:left w:val="nil"/>
              <w:bottom w:val="nil"/>
              <w:right w:val="single" w:sz="8" w:space="0" w:color="auto"/>
            </w:tcBorders>
            <w:vAlign w:val="center"/>
            <w:hideMark/>
          </w:tcPr>
          <w:p w14:paraId="2443C41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12.2%</w:t>
            </w:r>
          </w:p>
        </w:tc>
      </w:tr>
      <w:tr w:rsidR="0084529A" w:rsidRPr="00EE361A" w14:paraId="4B672E68" w14:textId="77777777" w:rsidTr="006C0C76">
        <w:trPr>
          <w:trHeight w:val="689"/>
        </w:trPr>
        <w:tc>
          <w:tcPr>
            <w:tcW w:w="1357" w:type="dxa"/>
            <w:tcBorders>
              <w:top w:val="nil"/>
              <w:left w:val="single" w:sz="8" w:space="0" w:color="auto"/>
              <w:bottom w:val="nil"/>
              <w:right w:val="nil"/>
            </w:tcBorders>
            <w:vAlign w:val="center"/>
            <w:hideMark/>
          </w:tcPr>
          <w:p w14:paraId="21C1E1A7"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Education – Science related actors</w:t>
            </w:r>
          </w:p>
        </w:tc>
        <w:tc>
          <w:tcPr>
            <w:tcW w:w="553" w:type="dxa"/>
            <w:tcBorders>
              <w:top w:val="nil"/>
              <w:left w:val="nil"/>
              <w:bottom w:val="nil"/>
              <w:right w:val="nil"/>
            </w:tcBorders>
            <w:vAlign w:val="center"/>
            <w:hideMark/>
          </w:tcPr>
          <w:p w14:paraId="25FA88F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w:t>
            </w:r>
          </w:p>
        </w:tc>
        <w:tc>
          <w:tcPr>
            <w:tcW w:w="737" w:type="dxa"/>
            <w:tcBorders>
              <w:top w:val="nil"/>
              <w:left w:val="nil"/>
              <w:bottom w:val="nil"/>
              <w:right w:val="nil"/>
            </w:tcBorders>
            <w:vAlign w:val="center"/>
            <w:hideMark/>
          </w:tcPr>
          <w:p w14:paraId="1765B95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14.3%</w:t>
            </w:r>
          </w:p>
        </w:tc>
        <w:tc>
          <w:tcPr>
            <w:tcW w:w="834" w:type="dxa"/>
            <w:tcBorders>
              <w:top w:val="nil"/>
              <w:left w:val="nil"/>
              <w:bottom w:val="nil"/>
              <w:right w:val="nil"/>
            </w:tcBorders>
            <w:vAlign w:val="center"/>
            <w:hideMark/>
          </w:tcPr>
          <w:p w14:paraId="3483DBE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28.6%</w:t>
            </w:r>
          </w:p>
        </w:tc>
        <w:tc>
          <w:tcPr>
            <w:tcW w:w="894" w:type="dxa"/>
            <w:tcBorders>
              <w:top w:val="nil"/>
              <w:left w:val="nil"/>
              <w:bottom w:val="nil"/>
              <w:right w:val="nil"/>
            </w:tcBorders>
            <w:vAlign w:val="center"/>
            <w:hideMark/>
          </w:tcPr>
          <w:p w14:paraId="4198079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14.3%</w:t>
            </w:r>
          </w:p>
        </w:tc>
        <w:tc>
          <w:tcPr>
            <w:tcW w:w="1082" w:type="dxa"/>
            <w:tcBorders>
              <w:top w:val="nil"/>
              <w:left w:val="nil"/>
              <w:bottom w:val="nil"/>
              <w:right w:val="single" w:sz="8" w:space="0" w:color="auto"/>
            </w:tcBorders>
            <w:vAlign w:val="center"/>
            <w:hideMark/>
          </w:tcPr>
          <w:p w14:paraId="0067B0B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42.9%</w:t>
            </w:r>
          </w:p>
        </w:tc>
        <w:tc>
          <w:tcPr>
            <w:tcW w:w="649" w:type="dxa"/>
            <w:tcBorders>
              <w:top w:val="nil"/>
              <w:left w:val="nil"/>
              <w:bottom w:val="nil"/>
              <w:right w:val="nil"/>
            </w:tcBorders>
            <w:vAlign w:val="center"/>
            <w:hideMark/>
          </w:tcPr>
          <w:p w14:paraId="24F3A1F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w:t>
            </w:r>
          </w:p>
        </w:tc>
        <w:tc>
          <w:tcPr>
            <w:tcW w:w="737" w:type="dxa"/>
            <w:tcBorders>
              <w:top w:val="nil"/>
              <w:left w:val="nil"/>
              <w:bottom w:val="nil"/>
              <w:right w:val="nil"/>
            </w:tcBorders>
            <w:vAlign w:val="center"/>
            <w:hideMark/>
          </w:tcPr>
          <w:p w14:paraId="319A5F9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25.0%</w:t>
            </w:r>
          </w:p>
        </w:tc>
        <w:tc>
          <w:tcPr>
            <w:tcW w:w="748" w:type="dxa"/>
            <w:tcBorders>
              <w:top w:val="nil"/>
              <w:left w:val="nil"/>
              <w:bottom w:val="nil"/>
              <w:right w:val="nil"/>
            </w:tcBorders>
            <w:vAlign w:val="center"/>
            <w:hideMark/>
          </w:tcPr>
          <w:p w14:paraId="0A53308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50.0%</w:t>
            </w:r>
          </w:p>
        </w:tc>
        <w:tc>
          <w:tcPr>
            <w:tcW w:w="894" w:type="dxa"/>
            <w:tcBorders>
              <w:top w:val="nil"/>
              <w:left w:val="nil"/>
              <w:bottom w:val="nil"/>
              <w:right w:val="nil"/>
            </w:tcBorders>
            <w:vAlign w:val="center"/>
            <w:hideMark/>
          </w:tcPr>
          <w:p w14:paraId="347975B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25.0%</w:t>
            </w:r>
          </w:p>
        </w:tc>
        <w:tc>
          <w:tcPr>
            <w:tcW w:w="1082" w:type="dxa"/>
            <w:tcBorders>
              <w:top w:val="nil"/>
              <w:left w:val="nil"/>
              <w:bottom w:val="nil"/>
              <w:right w:val="single" w:sz="8" w:space="0" w:color="auto"/>
            </w:tcBorders>
            <w:vAlign w:val="center"/>
            <w:hideMark/>
          </w:tcPr>
          <w:p w14:paraId="32A6FDE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r>
      <w:tr w:rsidR="0084529A" w:rsidRPr="00EE361A" w14:paraId="40121699" w14:textId="77777777" w:rsidTr="006C0C76">
        <w:trPr>
          <w:trHeight w:val="459"/>
        </w:trPr>
        <w:tc>
          <w:tcPr>
            <w:tcW w:w="1357" w:type="dxa"/>
            <w:tcBorders>
              <w:top w:val="nil"/>
              <w:left w:val="single" w:sz="8" w:space="0" w:color="auto"/>
              <w:bottom w:val="nil"/>
              <w:right w:val="nil"/>
            </w:tcBorders>
            <w:vAlign w:val="center"/>
            <w:hideMark/>
          </w:tcPr>
          <w:p w14:paraId="506C1B0E"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Supranational actors</w:t>
            </w:r>
          </w:p>
        </w:tc>
        <w:tc>
          <w:tcPr>
            <w:tcW w:w="553" w:type="dxa"/>
            <w:tcBorders>
              <w:top w:val="nil"/>
              <w:left w:val="nil"/>
              <w:bottom w:val="nil"/>
              <w:right w:val="nil"/>
            </w:tcBorders>
            <w:vAlign w:val="center"/>
            <w:hideMark/>
          </w:tcPr>
          <w:p w14:paraId="5E56C8A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17</w:t>
            </w:r>
          </w:p>
        </w:tc>
        <w:tc>
          <w:tcPr>
            <w:tcW w:w="737" w:type="dxa"/>
            <w:tcBorders>
              <w:top w:val="nil"/>
              <w:left w:val="nil"/>
              <w:bottom w:val="nil"/>
              <w:right w:val="nil"/>
            </w:tcBorders>
            <w:vAlign w:val="center"/>
            <w:hideMark/>
          </w:tcPr>
          <w:p w14:paraId="425D272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5.9%</w:t>
            </w:r>
          </w:p>
        </w:tc>
        <w:tc>
          <w:tcPr>
            <w:tcW w:w="834" w:type="dxa"/>
            <w:tcBorders>
              <w:top w:val="nil"/>
              <w:left w:val="nil"/>
              <w:bottom w:val="nil"/>
              <w:right w:val="nil"/>
            </w:tcBorders>
            <w:vAlign w:val="center"/>
            <w:hideMark/>
          </w:tcPr>
          <w:p w14:paraId="0AB3031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23.5%</w:t>
            </w:r>
          </w:p>
        </w:tc>
        <w:tc>
          <w:tcPr>
            <w:tcW w:w="894" w:type="dxa"/>
            <w:tcBorders>
              <w:top w:val="nil"/>
              <w:left w:val="nil"/>
              <w:bottom w:val="nil"/>
              <w:right w:val="nil"/>
            </w:tcBorders>
            <w:vAlign w:val="center"/>
            <w:hideMark/>
          </w:tcPr>
          <w:p w14:paraId="108B5F7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70.6%</w:t>
            </w:r>
          </w:p>
        </w:tc>
        <w:tc>
          <w:tcPr>
            <w:tcW w:w="1082" w:type="dxa"/>
            <w:tcBorders>
              <w:top w:val="nil"/>
              <w:left w:val="nil"/>
              <w:bottom w:val="nil"/>
              <w:right w:val="single" w:sz="8" w:space="0" w:color="auto"/>
            </w:tcBorders>
            <w:vAlign w:val="center"/>
            <w:hideMark/>
          </w:tcPr>
          <w:p w14:paraId="4DDAB36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5A210EF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47</w:t>
            </w:r>
          </w:p>
        </w:tc>
        <w:tc>
          <w:tcPr>
            <w:tcW w:w="737" w:type="dxa"/>
            <w:tcBorders>
              <w:top w:val="nil"/>
              <w:left w:val="nil"/>
              <w:bottom w:val="nil"/>
              <w:right w:val="nil"/>
            </w:tcBorders>
            <w:vAlign w:val="center"/>
            <w:hideMark/>
          </w:tcPr>
          <w:p w14:paraId="4149164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17.0%</w:t>
            </w:r>
          </w:p>
        </w:tc>
        <w:tc>
          <w:tcPr>
            <w:tcW w:w="748" w:type="dxa"/>
            <w:tcBorders>
              <w:top w:val="nil"/>
              <w:left w:val="nil"/>
              <w:bottom w:val="nil"/>
              <w:right w:val="nil"/>
            </w:tcBorders>
            <w:vAlign w:val="center"/>
            <w:hideMark/>
          </w:tcPr>
          <w:p w14:paraId="2BE903E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23.4%</w:t>
            </w:r>
          </w:p>
        </w:tc>
        <w:tc>
          <w:tcPr>
            <w:tcW w:w="894" w:type="dxa"/>
            <w:tcBorders>
              <w:top w:val="nil"/>
              <w:left w:val="nil"/>
              <w:bottom w:val="nil"/>
              <w:right w:val="nil"/>
            </w:tcBorders>
            <w:vAlign w:val="center"/>
            <w:hideMark/>
          </w:tcPr>
          <w:p w14:paraId="25487C4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57.4%</w:t>
            </w:r>
          </w:p>
        </w:tc>
        <w:tc>
          <w:tcPr>
            <w:tcW w:w="1082" w:type="dxa"/>
            <w:tcBorders>
              <w:top w:val="nil"/>
              <w:left w:val="nil"/>
              <w:bottom w:val="nil"/>
              <w:right w:val="single" w:sz="8" w:space="0" w:color="auto"/>
            </w:tcBorders>
            <w:vAlign w:val="center"/>
            <w:hideMark/>
          </w:tcPr>
          <w:p w14:paraId="68D4A02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2.1%</w:t>
            </w:r>
          </w:p>
        </w:tc>
      </w:tr>
      <w:tr w:rsidR="0084529A" w:rsidRPr="00EE361A" w14:paraId="78CB26CD" w14:textId="77777777" w:rsidTr="006C0C76">
        <w:trPr>
          <w:trHeight w:val="300"/>
        </w:trPr>
        <w:tc>
          <w:tcPr>
            <w:tcW w:w="1357" w:type="dxa"/>
            <w:tcBorders>
              <w:top w:val="nil"/>
              <w:left w:val="single" w:sz="8" w:space="0" w:color="auto"/>
              <w:bottom w:val="single" w:sz="8" w:space="0" w:color="auto"/>
              <w:right w:val="nil"/>
            </w:tcBorders>
            <w:vAlign w:val="center"/>
            <w:hideMark/>
          </w:tcPr>
          <w:p w14:paraId="10F9B829"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Total</w:t>
            </w:r>
          </w:p>
        </w:tc>
        <w:tc>
          <w:tcPr>
            <w:tcW w:w="553" w:type="dxa"/>
            <w:tcBorders>
              <w:top w:val="nil"/>
              <w:left w:val="nil"/>
              <w:bottom w:val="single" w:sz="8" w:space="0" w:color="auto"/>
              <w:right w:val="nil"/>
            </w:tcBorders>
            <w:vAlign w:val="center"/>
            <w:hideMark/>
          </w:tcPr>
          <w:p w14:paraId="571AC8CC"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287</w:t>
            </w:r>
          </w:p>
        </w:tc>
        <w:tc>
          <w:tcPr>
            <w:tcW w:w="737" w:type="dxa"/>
            <w:tcBorders>
              <w:top w:val="nil"/>
              <w:left w:val="nil"/>
              <w:bottom w:val="single" w:sz="8" w:space="0" w:color="auto"/>
              <w:right w:val="nil"/>
            </w:tcBorders>
            <w:vAlign w:val="center"/>
            <w:hideMark/>
          </w:tcPr>
          <w:p w14:paraId="39961406"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16.4%</w:t>
            </w:r>
          </w:p>
        </w:tc>
        <w:tc>
          <w:tcPr>
            <w:tcW w:w="834" w:type="dxa"/>
            <w:tcBorders>
              <w:top w:val="nil"/>
              <w:left w:val="nil"/>
              <w:bottom w:val="single" w:sz="8" w:space="0" w:color="auto"/>
              <w:right w:val="nil"/>
            </w:tcBorders>
            <w:vAlign w:val="center"/>
            <w:hideMark/>
          </w:tcPr>
          <w:p w14:paraId="4D8B02D2"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19.5%</w:t>
            </w:r>
          </w:p>
        </w:tc>
        <w:tc>
          <w:tcPr>
            <w:tcW w:w="894" w:type="dxa"/>
            <w:tcBorders>
              <w:top w:val="nil"/>
              <w:left w:val="nil"/>
              <w:bottom w:val="single" w:sz="8" w:space="0" w:color="auto"/>
              <w:right w:val="nil"/>
            </w:tcBorders>
            <w:vAlign w:val="center"/>
            <w:hideMark/>
          </w:tcPr>
          <w:p w14:paraId="68F8078E"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47.7%</w:t>
            </w:r>
          </w:p>
        </w:tc>
        <w:tc>
          <w:tcPr>
            <w:tcW w:w="1082" w:type="dxa"/>
            <w:tcBorders>
              <w:top w:val="nil"/>
              <w:left w:val="nil"/>
              <w:bottom w:val="single" w:sz="8" w:space="0" w:color="auto"/>
              <w:right w:val="single" w:sz="8" w:space="0" w:color="auto"/>
            </w:tcBorders>
            <w:vAlign w:val="center"/>
            <w:hideMark/>
          </w:tcPr>
          <w:p w14:paraId="0E46C78D"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16.4%</w:t>
            </w:r>
          </w:p>
        </w:tc>
        <w:tc>
          <w:tcPr>
            <w:tcW w:w="649" w:type="dxa"/>
            <w:tcBorders>
              <w:top w:val="nil"/>
              <w:left w:val="nil"/>
              <w:bottom w:val="single" w:sz="8" w:space="0" w:color="auto"/>
              <w:right w:val="nil"/>
            </w:tcBorders>
            <w:vAlign w:val="center"/>
            <w:hideMark/>
          </w:tcPr>
          <w:p w14:paraId="4C623474"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623</w:t>
            </w:r>
          </w:p>
        </w:tc>
        <w:tc>
          <w:tcPr>
            <w:tcW w:w="737" w:type="dxa"/>
            <w:tcBorders>
              <w:top w:val="nil"/>
              <w:left w:val="nil"/>
              <w:bottom w:val="single" w:sz="8" w:space="0" w:color="auto"/>
              <w:right w:val="nil"/>
            </w:tcBorders>
            <w:vAlign w:val="center"/>
            <w:hideMark/>
          </w:tcPr>
          <w:p w14:paraId="6E8323E0"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11.1%</w:t>
            </w:r>
          </w:p>
        </w:tc>
        <w:tc>
          <w:tcPr>
            <w:tcW w:w="748" w:type="dxa"/>
            <w:tcBorders>
              <w:top w:val="nil"/>
              <w:left w:val="nil"/>
              <w:bottom w:val="single" w:sz="8" w:space="0" w:color="auto"/>
              <w:right w:val="nil"/>
            </w:tcBorders>
            <w:vAlign w:val="center"/>
            <w:hideMark/>
          </w:tcPr>
          <w:p w14:paraId="38042B22"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33.4%</w:t>
            </w:r>
          </w:p>
        </w:tc>
        <w:tc>
          <w:tcPr>
            <w:tcW w:w="894" w:type="dxa"/>
            <w:tcBorders>
              <w:top w:val="nil"/>
              <w:left w:val="nil"/>
              <w:bottom w:val="single" w:sz="8" w:space="0" w:color="auto"/>
              <w:right w:val="nil"/>
            </w:tcBorders>
            <w:vAlign w:val="center"/>
            <w:hideMark/>
          </w:tcPr>
          <w:p w14:paraId="12F77A44"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47.9%</w:t>
            </w:r>
          </w:p>
        </w:tc>
        <w:tc>
          <w:tcPr>
            <w:tcW w:w="1082" w:type="dxa"/>
            <w:tcBorders>
              <w:top w:val="nil"/>
              <w:left w:val="nil"/>
              <w:bottom w:val="single" w:sz="8" w:space="0" w:color="auto"/>
              <w:right w:val="single" w:sz="8" w:space="0" w:color="auto"/>
            </w:tcBorders>
            <w:vAlign w:val="center"/>
            <w:hideMark/>
          </w:tcPr>
          <w:p w14:paraId="3B1A3E0C"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7.6%</w:t>
            </w:r>
          </w:p>
        </w:tc>
      </w:tr>
      <w:tr w:rsidR="0084529A" w:rsidRPr="00EE361A" w14:paraId="513F61FF" w14:textId="77777777" w:rsidTr="006C0C76">
        <w:trPr>
          <w:trHeight w:val="300"/>
        </w:trPr>
        <w:tc>
          <w:tcPr>
            <w:tcW w:w="5460" w:type="dxa"/>
            <w:gridSpan w:val="6"/>
            <w:tcBorders>
              <w:top w:val="single" w:sz="8" w:space="0" w:color="auto"/>
              <w:left w:val="single" w:sz="8" w:space="0" w:color="auto"/>
              <w:bottom w:val="single" w:sz="8" w:space="0" w:color="auto"/>
              <w:right w:val="single" w:sz="8" w:space="0" w:color="000000"/>
            </w:tcBorders>
            <w:vAlign w:val="center"/>
            <w:hideMark/>
          </w:tcPr>
          <w:p w14:paraId="249C7B83"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3rd Period</w:t>
            </w:r>
          </w:p>
        </w:tc>
        <w:tc>
          <w:tcPr>
            <w:tcW w:w="4112" w:type="dxa"/>
            <w:gridSpan w:val="5"/>
            <w:tcBorders>
              <w:top w:val="single" w:sz="8" w:space="0" w:color="auto"/>
              <w:left w:val="nil"/>
              <w:bottom w:val="single" w:sz="8" w:space="0" w:color="auto"/>
              <w:right w:val="single" w:sz="8" w:space="0" w:color="000000"/>
            </w:tcBorders>
            <w:vAlign w:val="center"/>
            <w:hideMark/>
          </w:tcPr>
          <w:p w14:paraId="223B1FCB"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Total </w:t>
            </w:r>
          </w:p>
        </w:tc>
      </w:tr>
      <w:tr w:rsidR="0084529A" w:rsidRPr="00EE361A" w14:paraId="6D8FD766" w14:textId="77777777" w:rsidTr="006C0C76">
        <w:trPr>
          <w:trHeight w:val="300"/>
        </w:trPr>
        <w:tc>
          <w:tcPr>
            <w:tcW w:w="1357" w:type="dxa"/>
            <w:tcBorders>
              <w:top w:val="nil"/>
              <w:left w:val="single" w:sz="8" w:space="0" w:color="auto"/>
              <w:bottom w:val="single" w:sz="8" w:space="0" w:color="auto"/>
              <w:right w:val="nil"/>
            </w:tcBorders>
            <w:vAlign w:val="center"/>
            <w:hideMark/>
          </w:tcPr>
          <w:p w14:paraId="079F56C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 </w:t>
            </w:r>
          </w:p>
        </w:tc>
        <w:tc>
          <w:tcPr>
            <w:tcW w:w="553" w:type="dxa"/>
            <w:tcBorders>
              <w:top w:val="nil"/>
              <w:left w:val="nil"/>
              <w:bottom w:val="single" w:sz="8" w:space="0" w:color="auto"/>
              <w:right w:val="nil"/>
            </w:tcBorders>
            <w:vAlign w:val="center"/>
            <w:hideMark/>
          </w:tcPr>
          <w:p w14:paraId="06D082F6"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w:t>
            </w:r>
          </w:p>
        </w:tc>
        <w:tc>
          <w:tcPr>
            <w:tcW w:w="737" w:type="dxa"/>
            <w:tcBorders>
              <w:top w:val="nil"/>
              <w:left w:val="nil"/>
              <w:bottom w:val="single" w:sz="8" w:space="0" w:color="auto"/>
              <w:right w:val="nil"/>
            </w:tcBorders>
            <w:vAlign w:val="center"/>
            <w:hideMark/>
          </w:tcPr>
          <w:p w14:paraId="083CBE1C"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Praise </w:t>
            </w:r>
          </w:p>
        </w:tc>
        <w:tc>
          <w:tcPr>
            <w:tcW w:w="834" w:type="dxa"/>
            <w:tcBorders>
              <w:top w:val="nil"/>
              <w:left w:val="nil"/>
              <w:bottom w:val="single" w:sz="8" w:space="0" w:color="auto"/>
              <w:right w:val="nil"/>
            </w:tcBorders>
            <w:vAlign w:val="center"/>
            <w:hideMark/>
          </w:tcPr>
          <w:p w14:paraId="1D55E821"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Blame </w:t>
            </w:r>
          </w:p>
        </w:tc>
        <w:tc>
          <w:tcPr>
            <w:tcW w:w="894" w:type="dxa"/>
            <w:tcBorders>
              <w:top w:val="nil"/>
              <w:left w:val="nil"/>
              <w:bottom w:val="single" w:sz="8" w:space="0" w:color="auto"/>
              <w:right w:val="nil"/>
            </w:tcBorders>
            <w:vAlign w:val="center"/>
            <w:hideMark/>
          </w:tcPr>
          <w:p w14:paraId="03B6F70F"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Request </w:t>
            </w:r>
          </w:p>
        </w:tc>
        <w:tc>
          <w:tcPr>
            <w:tcW w:w="1082" w:type="dxa"/>
            <w:tcBorders>
              <w:top w:val="nil"/>
              <w:left w:val="nil"/>
              <w:bottom w:val="single" w:sz="8" w:space="0" w:color="auto"/>
              <w:right w:val="single" w:sz="8" w:space="0" w:color="auto"/>
            </w:tcBorders>
            <w:vAlign w:val="center"/>
            <w:hideMark/>
          </w:tcPr>
          <w:p w14:paraId="1D30AF5A"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No evaluation</w:t>
            </w:r>
          </w:p>
        </w:tc>
        <w:tc>
          <w:tcPr>
            <w:tcW w:w="649" w:type="dxa"/>
            <w:tcBorders>
              <w:top w:val="nil"/>
              <w:left w:val="nil"/>
              <w:bottom w:val="single" w:sz="8" w:space="0" w:color="auto"/>
              <w:right w:val="nil"/>
            </w:tcBorders>
            <w:vAlign w:val="center"/>
            <w:hideMark/>
          </w:tcPr>
          <w:p w14:paraId="6FC3CC4F"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w:t>
            </w:r>
          </w:p>
        </w:tc>
        <w:tc>
          <w:tcPr>
            <w:tcW w:w="737" w:type="dxa"/>
            <w:tcBorders>
              <w:top w:val="nil"/>
              <w:left w:val="nil"/>
              <w:bottom w:val="single" w:sz="8" w:space="0" w:color="auto"/>
              <w:right w:val="nil"/>
            </w:tcBorders>
            <w:vAlign w:val="center"/>
            <w:hideMark/>
          </w:tcPr>
          <w:p w14:paraId="4581F0E1"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Praise </w:t>
            </w:r>
          </w:p>
        </w:tc>
        <w:tc>
          <w:tcPr>
            <w:tcW w:w="748" w:type="dxa"/>
            <w:tcBorders>
              <w:top w:val="nil"/>
              <w:left w:val="nil"/>
              <w:bottom w:val="single" w:sz="8" w:space="0" w:color="auto"/>
              <w:right w:val="nil"/>
            </w:tcBorders>
            <w:vAlign w:val="center"/>
            <w:hideMark/>
          </w:tcPr>
          <w:p w14:paraId="2502BD15"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Blame </w:t>
            </w:r>
          </w:p>
        </w:tc>
        <w:tc>
          <w:tcPr>
            <w:tcW w:w="894" w:type="dxa"/>
            <w:tcBorders>
              <w:top w:val="nil"/>
              <w:left w:val="nil"/>
              <w:bottom w:val="single" w:sz="8" w:space="0" w:color="auto"/>
              <w:right w:val="nil"/>
            </w:tcBorders>
            <w:vAlign w:val="center"/>
            <w:hideMark/>
          </w:tcPr>
          <w:p w14:paraId="751CA432"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 xml:space="preserve">Request </w:t>
            </w:r>
          </w:p>
        </w:tc>
        <w:tc>
          <w:tcPr>
            <w:tcW w:w="1082" w:type="dxa"/>
            <w:tcBorders>
              <w:top w:val="nil"/>
              <w:left w:val="nil"/>
              <w:bottom w:val="single" w:sz="8" w:space="0" w:color="auto"/>
              <w:right w:val="single" w:sz="8" w:space="0" w:color="auto"/>
            </w:tcBorders>
            <w:vAlign w:val="center"/>
            <w:hideMark/>
          </w:tcPr>
          <w:p w14:paraId="66D3FCA3" w14:textId="77777777" w:rsidR="0084529A" w:rsidRPr="00EE361A" w:rsidRDefault="0084529A" w:rsidP="006C0C76">
            <w:pPr>
              <w:jc w:val="center"/>
              <w:rPr>
                <w:rFonts w:ascii="Calibri" w:hAnsi="Calibri" w:cs="Calibri"/>
                <w:b/>
                <w:bCs/>
                <w:color w:val="000000"/>
                <w:sz w:val="18"/>
                <w:szCs w:val="18"/>
              </w:rPr>
            </w:pPr>
            <w:r w:rsidRPr="00EE361A">
              <w:rPr>
                <w:rFonts w:ascii="Calibri" w:hAnsi="Calibri" w:cs="Calibri"/>
                <w:b/>
                <w:bCs/>
                <w:color w:val="000000"/>
                <w:sz w:val="18"/>
                <w:szCs w:val="18"/>
              </w:rPr>
              <w:t>No evaluation</w:t>
            </w:r>
          </w:p>
        </w:tc>
      </w:tr>
      <w:tr w:rsidR="0084529A" w:rsidRPr="00EE361A" w14:paraId="0ED56E01" w14:textId="77777777" w:rsidTr="006C0C76">
        <w:trPr>
          <w:trHeight w:val="459"/>
        </w:trPr>
        <w:tc>
          <w:tcPr>
            <w:tcW w:w="1357" w:type="dxa"/>
            <w:tcBorders>
              <w:top w:val="nil"/>
              <w:left w:val="single" w:sz="8" w:space="0" w:color="auto"/>
              <w:bottom w:val="nil"/>
              <w:right w:val="nil"/>
            </w:tcBorders>
            <w:vAlign w:val="center"/>
            <w:hideMark/>
          </w:tcPr>
          <w:p w14:paraId="42474A42"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State Actors-Authorities</w:t>
            </w:r>
          </w:p>
        </w:tc>
        <w:tc>
          <w:tcPr>
            <w:tcW w:w="553" w:type="dxa"/>
            <w:tcBorders>
              <w:top w:val="nil"/>
              <w:left w:val="nil"/>
              <w:bottom w:val="nil"/>
              <w:right w:val="nil"/>
            </w:tcBorders>
            <w:vAlign w:val="center"/>
            <w:hideMark/>
          </w:tcPr>
          <w:p w14:paraId="43F8968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130</w:t>
            </w:r>
          </w:p>
        </w:tc>
        <w:tc>
          <w:tcPr>
            <w:tcW w:w="737" w:type="dxa"/>
            <w:tcBorders>
              <w:top w:val="nil"/>
              <w:left w:val="nil"/>
              <w:bottom w:val="nil"/>
              <w:right w:val="nil"/>
            </w:tcBorders>
            <w:vAlign w:val="center"/>
            <w:hideMark/>
          </w:tcPr>
          <w:p w14:paraId="32B376A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7.7%</w:t>
            </w:r>
          </w:p>
        </w:tc>
        <w:tc>
          <w:tcPr>
            <w:tcW w:w="834" w:type="dxa"/>
            <w:tcBorders>
              <w:top w:val="nil"/>
              <w:left w:val="nil"/>
              <w:bottom w:val="nil"/>
              <w:right w:val="nil"/>
            </w:tcBorders>
            <w:vAlign w:val="center"/>
            <w:hideMark/>
          </w:tcPr>
          <w:p w14:paraId="29DB0A8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66.2%</w:t>
            </w:r>
          </w:p>
        </w:tc>
        <w:tc>
          <w:tcPr>
            <w:tcW w:w="894" w:type="dxa"/>
            <w:tcBorders>
              <w:top w:val="nil"/>
              <w:left w:val="nil"/>
              <w:bottom w:val="nil"/>
              <w:right w:val="nil"/>
            </w:tcBorders>
            <w:vAlign w:val="center"/>
            <w:hideMark/>
          </w:tcPr>
          <w:p w14:paraId="532FC98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25.4%</w:t>
            </w:r>
          </w:p>
        </w:tc>
        <w:tc>
          <w:tcPr>
            <w:tcW w:w="1082" w:type="dxa"/>
            <w:tcBorders>
              <w:top w:val="nil"/>
              <w:left w:val="nil"/>
              <w:bottom w:val="nil"/>
              <w:right w:val="single" w:sz="8" w:space="0" w:color="auto"/>
            </w:tcBorders>
            <w:vAlign w:val="center"/>
            <w:hideMark/>
          </w:tcPr>
          <w:p w14:paraId="6B538D9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0.8%</w:t>
            </w:r>
          </w:p>
        </w:tc>
        <w:tc>
          <w:tcPr>
            <w:tcW w:w="649" w:type="dxa"/>
            <w:tcBorders>
              <w:top w:val="nil"/>
              <w:left w:val="nil"/>
              <w:bottom w:val="nil"/>
              <w:right w:val="nil"/>
            </w:tcBorders>
            <w:vAlign w:val="center"/>
            <w:hideMark/>
          </w:tcPr>
          <w:p w14:paraId="7F6AFD1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464</w:t>
            </w:r>
          </w:p>
        </w:tc>
        <w:tc>
          <w:tcPr>
            <w:tcW w:w="737" w:type="dxa"/>
            <w:tcBorders>
              <w:top w:val="nil"/>
              <w:left w:val="nil"/>
              <w:bottom w:val="nil"/>
              <w:right w:val="nil"/>
            </w:tcBorders>
            <w:vAlign w:val="center"/>
            <w:hideMark/>
          </w:tcPr>
          <w:p w14:paraId="467C608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12.9%</w:t>
            </w:r>
          </w:p>
        </w:tc>
        <w:tc>
          <w:tcPr>
            <w:tcW w:w="748" w:type="dxa"/>
            <w:tcBorders>
              <w:top w:val="nil"/>
              <w:left w:val="nil"/>
              <w:bottom w:val="nil"/>
              <w:right w:val="nil"/>
            </w:tcBorders>
            <w:vAlign w:val="center"/>
            <w:hideMark/>
          </w:tcPr>
          <w:p w14:paraId="2C8F062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55.0%</w:t>
            </w:r>
          </w:p>
        </w:tc>
        <w:tc>
          <w:tcPr>
            <w:tcW w:w="894" w:type="dxa"/>
            <w:tcBorders>
              <w:top w:val="nil"/>
              <w:left w:val="nil"/>
              <w:bottom w:val="nil"/>
              <w:right w:val="nil"/>
            </w:tcBorders>
            <w:vAlign w:val="center"/>
            <w:hideMark/>
          </w:tcPr>
          <w:p w14:paraId="05EC2FC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29.5%</w:t>
            </w:r>
          </w:p>
        </w:tc>
        <w:tc>
          <w:tcPr>
            <w:tcW w:w="1082" w:type="dxa"/>
            <w:tcBorders>
              <w:top w:val="nil"/>
              <w:left w:val="nil"/>
              <w:bottom w:val="nil"/>
              <w:right w:val="single" w:sz="8" w:space="0" w:color="auto"/>
            </w:tcBorders>
            <w:vAlign w:val="center"/>
            <w:hideMark/>
          </w:tcPr>
          <w:p w14:paraId="50F2D4A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2.6%</w:t>
            </w:r>
          </w:p>
        </w:tc>
      </w:tr>
      <w:tr w:rsidR="0084529A" w:rsidRPr="00EE361A" w14:paraId="0B79CFCB" w14:textId="77777777" w:rsidTr="006C0C76">
        <w:trPr>
          <w:trHeight w:val="459"/>
        </w:trPr>
        <w:tc>
          <w:tcPr>
            <w:tcW w:w="1357" w:type="dxa"/>
            <w:tcBorders>
              <w:top w:val="nil"/>
              <w:left w:val="single" w:sz="8" w:space="0" w:color="auto"/>
              <w:bottom w:val="nil"/>
              <w:right w:val="nil"/>
            </w:tcBorders>
            <w:vAlign w:val="center"/>
            <w:hideMark/>
          </w:tcPr>
          <w:p w14:paraId="2CE9D396"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Political actors</w:t>
            </w:r>
          </w:p>
        </w:tc>
        <w:tc>
          <w:tcPr>
            <w:tcW w:w="553" w:type="dxa"/>
            <w:tcBorders>
              <w:top w:val="nil"/>
              <w:left w:val="nil"/>
              <w:bottom w:val="nil"/>
              <w:right w:val="nil"/>
            </w:tcBorders>
            <w:vAlign w:val="center"/>
            <w:hideMark/>
          </w:tcPr>
          <w:p w14:paraId="2166F65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w:t>
            </w:r>
          </w:p>
        </w:tc>
        <w:tc>
          <w:tcPr>
            <w:tcW w:w="737" w:type="dxa"/>
            <w:tcBorders>
              <w:top w:val="nil"/>
              <w:left w:val="nil"/>
              <w:bottom w:val="nil"/>
              <w:right w:val="nil"/>
            </w:tcBorders>
            <w:vAlign w:val="center"/>
            <w:hideMark/>
          </w:tcPr>
          <w:p w14:paraId="0604263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834" w:type="dxa"/>
            <w:tcBorders>
              <w:top w:val="nil"/>
              <w:left w:val="nil"/>
              <w:bottom w:val="nil"/>
              <w:right w:val="nil"/>
            </w:tcBorders>
            <w:vAlign w:val="center"/>
            <w:hideMark/>
          </w:tcPr>
          <w:p w14:paraId="683AECF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75.0%</w:t>
            </w:r>
          </w:p>
        </w:tc>
        <w:tc>
          <w:tcPr>
            <w:tcW w:w="894" w:type="dxa"/>
            <w:tcBorders>
              <w:top w:val="nil"/>
              <w:left w:val="nil"/>
              <w:bottom w:val="nil"/>
              <w:right w:val="nil"/>
            </w:tcBorders>
            <w:vAlign w:val="center"/>
            <w:hideMark/>
          </w:tcPr>
          <w:p w14:paraId="37A08EA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25.0%</w:t>
            </w:r>
          </w:p>
        </w:tc>
        <w:tc>
          <w:tcPr>
            <w:tcW w:w="1082" w:type="dxa"/>
            <w:tcBorders>
              <w:top w:val="nil"/>
              <w:left w:val="nil"/>
              <w:bottom w:val="nil"/>
              <w:right w:val="single" w:sz="8" w:space="0" w:color="auto"/>
            </w:tcBorders>
            <w:vAlign w:val="center"/>
            <w:hideMark/>
          </w:tcPr>
          <w:p w14:paraId="258E545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60478BF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12</w:t>
            </w:r>
          </w:p>
        </w:tc>
        <w:tc>
          <w:tcPr>
            <w:tcW w:w="737" w:type="dxa"/>
            <w:tcBorders>
              <w:top w:val="nil"/>
              <w:left w:val="nil"/>
              <w:bottom w:val="nil"/>
              <w:right w:val="nil"/>
            </w:tcBorders>
            <w:vAlign w:val="center"/>
            <w:hideMark/>
          </w:tcPr>
          <w:p w14:paraId="33D1593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748" w:type="dxa"/>
            <w:tcBorders>
              <w:top w:val="nil"/>
              <w:left w:val="nil"/>
              <w:bottom w:val="nil"/>
              <w:right w:val="nil"/>
            </w:tcBorders>
            <w:vAlign w:val="center"/>
            <w:hideMark/>
          </w:tcPr>
          <w:p w14:paraId="0157C48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75.0%</w:t>
            </w:r>
          </w:p>
        </w:tc>
        <w:tc>
          <w:tcPr>
            <w:tcW w:w="894" w:type="dxa"/>
            <w:tcBorders>
              <w:top w:val="nil"/>
              <w:left w:val="nil"/>
              <w:bottom w:val="nil"/>
              <w:right w:val="nil"/>
            </w:tcBorders>
            <w:vAlign w:val="center"/>
            <w:hideMark/>
          </w:tcPr>
          <w:p w14:paraId="1F1B686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25.0%</w:t>
            </w:r>
          </w:p>
        </w:tc>
        <w:tc>
          <w:tcPr>
            <w:tcW w:w="1082" w:type="dxa"/>
            <w:tcBorders>
              <w:top w:val="nil"/>
              <w:left w:val="nil"/>
              <w:bottom w:val="nil"/>
              <w:right w:val="single" w:sz="8" w:space="0" w:color="auto"/>
            </w:tcBorders>
            <w:vAlign w:val="center"/>
            <w:hideMark/>
          </w:tcPr>
          <w:p w14:paraId="7982015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r>
      <w:tr w:rsidR="0084529A" w:rsidRPr="00EE361A" w14:paraId="055EC1D7" w14:textId="77777777" w:rsidTr="006C0C76">
        <w:trPr>
          <w:trHeight w:val="459"/>
        </w:trPr>
        <w:tc>
          <w:tcPr>
            <w:tcW w:w="1357" w:type="dxa"/>
            <w:tcBorders>
              <w:top w:val="nil"/>
              <w:left w:val="single" w:sz="8" w:space="0" w:color="auto"/>
              <w:bottom w:val="nil"/>
              <w:right w:val="nil"/>
            </w:tcBorders>
            <w:vAlign w:val="center"/>
            <w:hideMark/>
          </w:tcPr>
          <w:p w14:paraId="5B255990"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Economic Actors</w:t>
            </w:r>
          </w:p>
        </w:tc>
        <w:tc>
          <w:tcPr>
            <w:tcW w:w="553" w:type="dxa"/>
            <w:tcBorders>
              <w:top w:val="nil"/>
              <w:left w:val="nil"/>
              <w:bottom w:val="nil"/>
              <w:right w:val="nil"/>
            </w:tcBorders>
            <w:vAlign w:val="center"/>
            <w:hideMark/>
          </w:tcPr>
          <w:p w14:paraId="42E9D9B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13</w:t>
            </w:r>
          </w:p>
        </w:tc>
        <w:tc>
          <w:tcPr>
            <w:tcW w:w="737" w:type="dxa"/>
            <w:tcBorders>
              <w:top w:val="nil"/>
              <w:left w:val="nil"/>
              <w:bottom w:val="nil"/>
              <w:right w:val="nil"/>
            </w:tcBorders>
            <w:vAlign w:val="center"/>
            <w:hideMark/>
          </w:tcPr>
          <w:p w14:paraId="2051B9E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30.8%</w:t>
            </w:r>
          </w:p>
        </w:tc>
        <w:tc>
          <w:tcPr>
            <w:tcW w:w="834" w:type="dxa"/>
            <w:tcBorders>
              <w:top w:val="nil"/>
              <w:left w:val="nil"/>
              <w:bottom w:val="nil"/>
              <w:right w:val="nil"/>
            </w:tcBorders>
            <w:vAlign w:val="center"/>
            <w:hideMark/>
          </w:tcPr>
          <w:p w14:paraId="7A56129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46.2%</w:t>
            </w:r>
          </w:p>
        </w:tc>
        <w:tc>
          <w:tcPr>
            <w:tcW w:w="894" w:type="dxa"/>
            <w:tcBorders>
              <w:top w:val="nil"/>
              <w:left w:val="nil"/>
              <w:bottom w:val="nil"/>
              <w:right w:val="nil"/>
            </w:tcBorders>
            <w:vAlign w:val="center"/>
            <w:hideMark/>
          </w:tcPr>
          <w:p w14:paraId="5313D06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23.1%</w:t>
            </w:r>
          </w:p>
        </w:tc>
        <w:tc>
          <w:tcPr>
            <w:tcW w:w="1082" w:type="dxa"/>
            <w:tcBorders>
              <w:top w:val="nil"/>
              <w:left w:val="nil"/>
              <w:bottom w:val="nil"/>
              <w:right w:val="single" w:sz="8" w:space="0" w:color="auto"/>
            </w:tcBorders>
            <w:vAlign w:val="center"/>
            <w:hideMark/>
          </w:tcPr>
          <w:p w14:paraId="3A2E8CA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26D7CED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60</w:t>
            </w:r>
          </w:p>
        </w:tc>
        <w:tc>
          <w:tcPr>
            <w:tcW w:w="737" w:type="dxa"/>
            <w:tcBorders>
              <w:top w:val="nil"/>
              <w:left w:val="nil"/>
              <w:bottom w:val="nil"/>
              <w:right w:val="nil"/>
            </w:tcBorders>
            <w:vAlign w:val="center"/>
            <w:hideMark/>
          </w:tcPr>
          <w:p w14:paraId="40261F70"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30.0%</w:t>
            </w:r>
          </w:p>
        </w:tc>
        <w:tc>
          <w:tcPr>
            <w:tcW w:w="748" w:type="dxa"/>
            <w:tcBorders>
              <w:top w:val="nil"/>
              <w:left w:val="nil"/>
              <w:bottom w:val="nil"/>
              <w:right w:val="nil"/>
            </w:tcBorders>
            <w:vAlign w:val="center"/>
            <w:hideMark/>
          </w:tcPr>
          <w:p w14:paraId="1190DAA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31.7%</w:t>
            </w:r>
          </w:p>
        </w:tc>
        <w:tc>
          <w:tcPr>
            <w:tcW w:w="894" w:type="dxa"/>
            <w:tcBorders>
              <w:top w:val="nil"/>
              <w:left w:val="nil"/>
              <w:bottom w:val="nil"/>
              <w:right w:val="nil"/>
            </w:tcBorders>
            <w:vAlign w:val="center"/>
            <w:hideMark/>
          </w:tcPr>
          <w:p w14:paraId="7D21707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21.7%</w:t>
            </w:r>
          </w:p>
        </w:tc>
        <w:tc>
          <w:tcPr>
            <w:tcW w:w="1082" w:type="dxa"/>
            <w:tcBorders>
              <w:top w:val="nil"/>
              <w:left w:val="nil"/>
              <w:bottom w:val="nil"/>
              <w:right w:val="single" w:sz="8" w:space="0" w:color="auto"/>
            </w:tcBorders>
            <w:vAlign w:val="center"/>
            <w:hideMark/>
          </w:tcPr>
          <w:p w14:paraId="06E474B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r>
      <w:tr w:rsidR="0084529A" w:rsidRPr="00EE361A" w14:paraId="113159B0" w14:textId="77777777" w:rsidTr="006C0C76">
        <w:trPr>
          <w:trHeight w:val="689"/>
        </w:trPr>
        <w:tc>
          <w:tcPr>
            <w:tcW w:w="1357" w:type="dxa"/>
            <w:tcBorders>
              <w:top w:val="nil"/>
              <w:left w:val="single" w:sz="8" w:space="0" w:color="auto"/>
              <w:bottom w:val="nil"/>
              <w:right w:val="nil"/>
            </w:tcBorders>
            <w:vAlign w:val="center"/>
            <w:hideMark/>
          </w:tcPr>
          <w:p w14:paraId="1F3F0669"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Labor organizations and groups</w:t>
            </w:r>
          </w:p>
        </w:tc>
        <w:tc>
          <w:tcPr>
            <w:tcW w:w="553" w:type="dxa"/>
            <w:tcBorders>
              <w:top w:val="nil"/>
              <w:left w:val="nil"/>
              <w:bottom w:val="nil"/>
              <w:right w:val="nil"/>
            </w:tcBorders>
            <w:vAlign w:val="center"/>
            <w:hideMark/>
          </w:tcPr>
          <w:p w14:paraId="4FE5B18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w:t>
            </w:r>
          </w:p>
        </w:tc>
        <w:tc>
          <w:tcPr>
            <w:tcW w:w="737" w:type="dxa"/>
            <w:tcBorders>
              <w:top w:val="nil"/>
              <w:left w:val="nil"/>
              <w:bottom w:val="nil"/>
              <w:right w:val="nil"/>
            </w:tcBorders>
            <w:vAlign w:val="center"/>
            <w:hideMark/>
          </w:tcPr>
          <w:p w14:paraId="39D94C0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834" w:type="dxa"/>
            <w:tcBorders>
              <w:top w:val="nil"/>
              <w:left w:val="nil"/>
              <w:bottom w:val="nil"/>
              <w:right w:val="nil"/>
            </w:tcBorders>
            <w:vAlign w:val="center"/>
            <w:hideMark/>
          </w:tcPr>
          <w:p w14:paraId="6046B8A1"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894" w:type="dxa"/>
            <w:tcBorders>
              <w:top w:val="nil"/>
              <w:left w:val="nil"/>
              <w:bottom w:val="nil"/>
              <w:right w:val="nil"/>
            </w:tcBorders>
            <w:vAlign w:val="center"/>
            <w:hideMark/>
          </w:tcPr>
          <w:p w14:paraId="1425DDA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1082" w:type="dxa"/>
            <w:tcBorders>
              <w:top w:val="nil"/>
              <w:left w:val="nil"/>
              <w:bottom w:val="nil"/>
              <w:right w:val="single" w:sz="8" w:space="0" w:color="auto"/>
            </w:tcBorders>
            <w:vAlign w:val="center"/>
            <w:hideMark/>
          </w:tcPr>
          <w:p w14:paraId="0BB4BEA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30032A5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14</w:t>
            </w:r>
          </w:p>
        </w:tc>
        <w:tc>
          <w:tcPr>
            <w:tcW w:w="737" w:type="dxa"/>
            <w:tcBorders>
              <w:top w:val="nil"/>
              <w:left w:val="nil"/>
              <w:bottom w:val="nil"/>
              <w:right w:val="nil"/>
            </w:tcBorders>
            <w:vAlign w:val="center"/>
            <w:hideMark/>
          </w:tcPr>
          <w:p w14:paraId="047B45D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14.3%</w:t>
            </w:r>
          </w:p>
        </w:tc>
        <w:tc>
          <w:tcPr>
            <w:tcW w:w="748" w:type="dxa"/>
            <w:tcBorders>
              <w:top w:val="nil"/>
              <w:left w:val="nil"/>
              <w:bottom w:val="nil"/>
              <w:right w:val="nil"/>
            </w:tcBorders>
            <w:vAlign w:val="center"/>
            <w:hideMark/>
          </w:tcPr>
          <w:p w14:paraId="0833D9F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21.4%</w:t>
            </w:r>
          </w:p>
        </w:tc>
        <w:tc>
          <w:tcPr>
            <w:tcW w:w="894" w:type="dxa"/>
            <w:tcBorders>
              <w:top w:val="nil"/>
              <w:left w:val="nil"/>
              <w:bottom w:val="nil"/>
              <w:right w:val="nil"/>
            </w:tcBorders>
            <w:vAlign w:val="center"/>
            <w:hideMark/>
          </w:tcPr>
          <w:p w14:paraId="483ED3A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21.4%</w:t>
            </w:r>
          </w:p>
        </w:tc>
        <w:tc>
          <w:tcPr>
            <w:tcW w:w="1082" w:type="dxa"/>
            <w:tcBorders>
              <w:top w:val="nil"/>
              <w:left w:val="nil"/>
              <w:bottom w:val="nil"/>
              <w:right w:val="single" w:sz="8" w:space="0" w:color="auto"/>
            </w:tcBorders>
            <w:vAlign w:val="center"/>
            <w:hideMark/>
          </w:tcPr>
          <w:p w14:paraId="2D4A29C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42.9%</w:t>
            </w:r>
          </w:p>
        </w:tc>
      </w:tr>
      <w:tr w:rsidR="0084529A" w:rsidRPr="00EE361A" w14:paraId="0978AB47" w14:textId="77777777" w:rsidTr="006C0C76">
        <w:trPr>
          <w:trHeight w:val="459"/>
        </w:trPr>
        <w:tc>
          <w:tcPr>
            <w:tcW w:w="1357" w:type="dxa"/>
            <w:tcBorders>
              <w:top w:val="nil"/>
              <w:left w:val="single" w:sz="8" w:space="0" w:color="auto"/>
              <w:bottom w:val="nil"/>
              <w:right w:val="nil"/>
            </w:tcBorders>
            <w:vAlign w:val="center"/>
            <w:hideMark/>
          </w:tcPr>
          <w:p w14:paraId="2D4A76BA"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Health related actors</w:t>
            </w:r>
          </w:p>
        </w:tc>
        <w:tc>
          <w:tcPr>
            <w:tcW w:w="553" w:type="dxa"/>
            <w:tcBorders>
              <w:top w:val="nil"/>
              <w:left w:val="nil"/>
              <w:bottom w:val="nil"/>
              <w:right w:val="nil"/>
            </w:tcBorders>
            <w:vAlign w:val="center"/>
            <w:hideMark/>
          </w:tcPr>
          <w:p w14:paraId="1CB9837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12</w:t>
            </w:r>
          </w:p>
        </w:tc>
        <w:tc>
          <w:tcPr>
            <w:tcW w:w="737" w:type="dxa"/>
            <w:tcBorders>
              <w:top w:val="nil"/>
              <w:left w:val="nil"/>
              <w:bottom w:val="nil"/>
              <w:right w:val="nil"/>
            </w:tcBorders>
            <w:vAlign w:val="center"/>
            <w:hideMark/>
          </w:tcPr>
          <w:p w14:paraId="13F5CB3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8.3%</w:t>
            </w:r>
          </w:p>
        </w:tc>
        <w:tc>
          <w:tcPr>
            <w:tcW w:w="834" w:type="dxa"/>
            <w:tcBorders>
              <w:top w:val="nil"/>
              <w:left w:val="nil"/>
              <w:bottom w:val="nil"/>
              <w:right w:val="nil"/>
            </w:tcBorders>
            <w:vAlign w:val="center"/>
            <w:hideMark/>
          </w:tcPr>
          <w:p w14:paraId="5781EC6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50.0%</w:t>
            </w:r>
          </w:p>
        </w:tc>
        <w:tc>
          <w:tcPr>
            <w:tcW w:w="894" w:type="dxa"/>
            <w:tcBorders>
              <w:top w:val="nil"/>
              <w:left w:val="nil"/>
              <w:bottom w:val="nil"/>
              <w:right w:val="nil"/>
            </w:tcBorders>
            <w:vAlign w:val="center"/>
            <w:hideMark/>
          </w:tcPr>
          <w:p w14:paraId="2E56E2B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41.7%</w:t>
            </w:r>
          </w:p>
        </w:tc>
        <w:tc>
          <w:tcPr>
            <w:tcW w:w="1082" w:type="dxa"/>
            <w:tcBorders>
              <w:top w:val="nil"/>
              <w:left w:val="nil"/>
              <w:bottom w:val="nil"/>
              <w:right w:val="single" w:sz="8" w:space="0" w:color="auto"/>
            </w:tcBorders>
            <w:vAlign w:val="center"/>
            <w:hideMark/>
          </w:tcPr>
          <w:p w14:paraId="5644624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187AB81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57</w:t>
            </w:r>
          </w:p>
        </w:tc>
        <w:tc>
          <w:tcPr>
            <w:tcW w:w="737" w:type="dxa"/>
            <w:tcBorders>
              <w:top w:val="nil"/>
              <w:left w:val="nil"/>
              <w:bottom w:val="nil"/>
              <w:right w:val="nil"/>
            </w:tcBorders>
            <w:vAlign w:val="center"/>
            <w:hideMark/>
          </w:tcPr>
          <w:p w14:paraId="36F5786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748" w:type="dxa"/>
            <w:tcBorders>
              <w:top w:val="nil"/>
              <w:left w:val="nil"/>
              <w:bottom w:val="nil"/>
              <w:right w:val="nil"/>
            </w:tcBorders>
            <w:vAlign w:val="center"/>
            <w:hideMark/>
          </w:tcPr>
          <w:p w14:paraId="0219527A"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24.6%</w:t>
            </w:r>
          </w:p>
        </w:tc>
        <w:tc>
          <w:tcPr>
            <w:tcW w:w="894" w:type="dxa"/>
            <w:tcBorders>
              <w:top w:val="nil"/>
              <w:left w:val="nil"/>
              <w:bottom w:val="nil"/>
              <w:right w:val="nil"/>
            </w:tcBorders>
            <w:vAlign w:val="center"/>
            <w:hideMark/>
          </w:tcPr>
          <w:p w14:paraId="207DCF3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1082" w:type="dxa"/>
            <w:tcBorders>
              <w:top w:val="nil"/>
              <w:left w:val="nil"/>
              <w:bottom w:val="nil"/>
              <w:right w:val="single" w:sz="8" w:space="0" w:color="auto"/>
            </w:tcBorders>
            <w:vAlign w:val="center"/>
            <w:hideMark/>
          </w:tcPr>
          <w:p w14:paraId="1584247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8.8%</w:t>
            </w:r>
          </w:p>
        </w:tc>
      </w:tr>
      <w:tr w:rsidR="0084529A" w:rsidRPr="00EE361A" w14:paraId="4F606996" w14:textId="77777777" w:rsidTr="006C0C76">
        <w:trPr>
          <w:trHeight w:val="689"/>
        </w:trPr>
        <w:tc>
          <w:tcPr>
            <w:tcW w:w="1357" w:type="dxa"/>
            <w:tcBorders>
              <w:top w:val="nil"/>
              <w:left w:val="single" w:sz="8" w:space="0" w:color="auto"/>
              <w:bottom w:val="nil"/>
              <w:right w:val="nil"/>
            </w:tcBorders>
            <w:vAlign w:val="center"/>
            <w:hideMark/>
          </w:tcPr>
          <w:p w14:paraId="754F6A6D"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Society and Civil society Actors</w:t>
            </w:r>
          </w:p>
        </w:tc>
        <w:tc>
          <w:tcPr>
            <w:tcW w:w="553" w:type="dxa"/>
            <w:tcBorders>
              <w:top w:val="nil"/>
              <w:left w:val="nil"/>
              <w:bottom w:val="nil"/>
              <w:right w:val="nil"/>
            </w:tcBorders>
            <w:vAlign w:val="center"/>
            <w:hideMark/>
          </w:tcPr>
          <w:p w14:paraId="02B2DB2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159</w:t>
            </w:r>
          </w:p>
        </w:tc>
        <w:tc>
          <w:tcPr>
            <w:tcW w:w="737" w:type="dxa"/>
            <w:tcBorders>
              <w:top w:val="nil"/>
              <w:left w:val="nil"/>
              <w:bottom w:val="nil"/>
              <w:right w:val="nil"/>
            </w:tcBorders>
            <w:vAlign w:val="center"/>
            <w:hideMark/>
          </w:tcPr>
          <w:p w14:paraId="228EFF5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w:t>
            </w:r>
          </w:p>
        </w:tc>
        <w:tc>
          <w:tcPr>
            <w:tcW w:w="834" w:type="dxa"/>
            <w:tcBorders>
              <w:top w:val="nil"/>
              <w:left w:val="nil"/>
              <w:bottom w:val="nil"/>
              <w:right w:val="nil"/>
            </w:tcBorders>
            <w:vAlign w:val="center"/>
            <w:hideMark/>
          </w:tcPr>
          <w:p w14:paraId="62E5F2E9"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23.3%</w:t>
            </w:r>
          </w:p>
        </w:tc>
        <w:tc>
          <w:tcPr>
            <w:tcW w:w="894" w:type="dxa"/>
            <w:tcBorders>
              <w:top w:val="nil"/>
              <w:left w:val="nil"/>
              <w:bottom w:val="nil"/>
              <w:right w:val="nil"/>
            </w:tcBorders>
            <w:vAlign w:val="center"/>
            <w:hideMark/>
          </w:tcPr>
          <w:p w14:paraId="2AA4CAB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70.4%</w:t>
            </w:r>
          </w:p>
        </w:tc>
        <w:tc>
          <w:tcPr>
            <w:tcW w:w="1082" w:type="dxa"/>
            <w:tcBorders>
              <w:top w:val="nil"/>
              <w:left w:val="nil"/>
              <w:bottom w:val="nil"/>
              <w:right w:val="single" w:sz="8" w:space="0" w:color="auto"/>
            </w:tcBorders>
            <w:vAlign w:val="center"/>
            <w:hideMark/>
          </w:tcPr>
          <w:p w14:paraId="0F024BF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3.1%</w:t>
            </w:r>
          </w:p>
        </w:tc>
        <w:tc>
          <w:tcPr>
            <w:tcW w:w="649" w:type="dxa"/>
            <w:tcBorders>
              <w:top w:val="nil"/>
              <w:left w:val="nil"/>
              <w:bottom w:val="nil"/>
              <w:right w:val="nil"/>
            </w:tcBorders>
            <w:vAlign w:val="center"/>
            <w:hideMark/>
          </w:tcPr>
          <w:p w14:paraId="6629090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558</w:t>
            </w:r>
          </w:p>
        </w:tc>
        <w:tc>
          <w:tcPr>
            <w:tcW w:w="737" w:type="dxa"/>
            <w:tcBorders>
              <w:top w:val="nil"/>
              <w:left w:val="nil"/>
              <w:bottom w:val="nil"/>
              <w:right w:val="nil"/>
            </w:tcBorders>
            <w:vAlign w:val="center"/>
            <w:hideMark/>
          </w:tcPr>
          <w:p w14:paraId="4F4BA07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5.0%</w:t>
            </w:r>
          </w:p>
        </w:tc>
        <w:tc>
          <w:tcPr>
            <w:tcW w:w="748" w:type="dxa"/>
            <w:tcBorders>
              <w:top w:val="nil"/>
              <w:left w:val="nil"/>
              <w:bottom w:val="nil"/>
              <w:right w:val="nil"/>
            </w:tcBorders>
            <w:vAlign w:val="center"/>
            <w:hideMark/>
          </w:tcPr>
          <w:p w14:paraId="2357D00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15.6%</w:t>
            </w:r>
          </w:p>
        </w:tc>
        <w:tc>
          <w:tcPr>
            <w:tcW w:w="894" w:type="dxa"/>
            <w:tcBorders>
              <w:top w:val="nil"/>
              <w:left w:val="nil"/>
              <w:bottom w:val="nil"/>
              <w:right w:val="nil"/>
            </w:tcBorders>
            <w:vAlign w:val="center"/>
            <w:hideMark/>
          </w:tcPr>
          <w:p w14:paraId="7AD5158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67.9%</w:t>
            </w:r>
          </w:p>
        </w:tc>
        <w:tc>
          <w:tcPr>
            <w:tcW w:w="1082" w:type="dxa"/>
            <w:tcBorders>
              <w:top w:val="nil"/>
              <w:left w:val="nil"/>
              <w:bottom w:val="nil"/>
              <w:right w:val="single" w:sz="8" w:space="0" w:color="auto"/>
            </w:tcBorders>
            <w:vAlign w:val="center"/>
            <w:hideMark/>
          </w:tcPr>
          <w:p w14:paraId="5BA7CC9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11.5%</w:t>
            </w:r>
          </w:p>
        </w:tc>
      </w:tr>
      <w:tr w:rsidR="0084529A" w:rsidRPr="00EE361A" w14:paraId="7591433D" w14:textId="77777777" w:rsidTr="006C0C76">
        <w:trPr>
          <w:trHeight w:val="689"/>
        </w:trPr>
        <w:tc>
          <w:tcPr>
            <w:tcW w:w="1357" w:type="dxa"/>
            <w:tcBorders>
              <w:top w:val="nil"/>
              <w:left w:val="single" w:sz="8" w:space="0" w:color="auto"/>
              <w:bottom w:val="nil"/>
              <w:right w:val="nil"/>
            </w:tcBorders>
            <w:vAlign w:val="center"/>
            <w:hideMark/>
          </w:tcPr>
          <w:p w14:paraId="40BF8A31"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Education – Science related actors</w:t>
            </w:r>
          </w:p>
        </w:tc>
        <w:tc>
          <w:tcPr>
            <w:tcW w:w="553" w:type="dxa"/>
            <w:tcBorders>
              <w:top w:val="nil"/>
              <w:left w:val="nil"/>
              <w:bottom w:val="nil"/>
              <w:right w:val="nil"/>
            </w:tcBorders>
            <w:vAlign w:val="center"/>
            <w:hideMark/>
          </w:tcPr>
          <w:p w14:paraId="0F25467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w:t>
            </w:r>
          </w:p>
        </w:tc>
        <w:tc>
          <w:tcPr>
            <w:tcW w:w="737" w:type="dxa"/>
            <w:tcBorders>
              <w:top w:val="nil"/>
              <w:left w:val="nil"/>
              <w:bottom w:val="nil"/>
              <w:right w:val="nil"/>
            </w:tcBorders>
            <w:vAlign w:val="center"/>
            <w:hideMark/>
          </w:tcPr>
          <w:p w14:paraId="240CA30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14.3%</w:t>
            </w:r>
          </w:p>
        </w:tc>
        <w:tc>
          <w:tcPr>
            <w:tcW w:w="834" w:type="dxa"/>
            <w:tcBorders>
              <w:top w:val="nil"/>
              <w:left w:val="nil"/>
              <w:bottom w:val="nil"/>
              <w:right w:val="nil"/>
            </w:tcBorders>
            <w:vAlign w:val="center"/>
            <w:hideMark/>
          </w:tcPr>
          <w:p w14:paraId="13D67FE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28.6%</w:t>
            </w:r>
          </w:p>
        </w:tc>
        <w:tc>
          <w:tcPr>
            <w:tcW w:w="894" w:type="dxa"/>
            <w:tcBorders>
              <w:top w:val="nil"/>
              <w:left w:val="nil"/>
              <w:bottom w:val="nil"/>
              <w:right w:val="nil"/>
            </w:tcBorders>
            <w:vAlign w:val="center"/>
            <w:hideMark/>
          </w:tcPr>
          <w:p w14:paraId="26F4DA1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57.1%</w:t>
            </w:r>
          </w:p>
        </w:tc>
        <w:tc>
          <w:tcPr>
            <w:tcW w:w="1082" w:type="dxa"/>
            <w:tcBorders>
              <w:top w:val="nil"/>
              <w:left w:val="nil"/>
              <w:bottom w:val="nil"/>
              <w:right w:val="single" w:sz="8" w:space="0" w:color="auto"/>
            </w:tcBorders>
            <w:vAlign w:val="center"/>
            <w:hideMark/>
          </w:tcPr>
          <w:p w14:paraId="1A6082A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649" w:type="dxa"/>
            <w:tcBorders>
              <w:top w:val="nil"/>
              <w:left w:val="nil"/>
              <w:bottom w:val="nil"/>
              <w:right w:val="nil"/>
            </w:tcBorders>
            <w:vAlign w:val="center"/>
            <w:hideMark/>
          </w:tcPr>
          <w:p w14:paraId="0380D44E"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18</w:t>
            </w:r>
          </w:p>
        </w:tc>
        <w:tc>
          <w:tcPr>
            <w:tcW w:w="737" w:type="dxa"/>
            <w:tcBorders>
              <w:top w:val="nil"/>
              <w:left w:val="nil"/>
              <w:bottom w:val="nil"/>
              <w:right w:val="nil"/>
            </w:tcBorders>
            <w:vAlign w:val="center"/>
            <w:hideMark/>
          </w:tcPr>
          <w:p w14:paraId="005D581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748" w:type="dxa"/>
            <w:tcBorders>
              <w:top w:val="nil"/>
              <w:left w:val="nil"/>
              <w:bottom w:val="nil"/>
              <w:right w:val="nil"/>
            </w:tcBorders>
            <w:vAlign w:val="center"/>
            <w:hideMark/>
          </w:tcPr>
          <w:p w14:paraId="1808C36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894" w:type="dxa"/>
            <w:tcBorders>
              <w:top w:val="nil"/>
              <w:left w:val="nil"/>
              <w:bottom w:val="nil"/>
              <w:right w:val="nil"/>
            </w:tcBorders>
            <w:vAlign w:val="center"/>
            <w:hideMark/>
          </w:tcPr>
          <w:p w14:paraId="233CC227"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33.3%</w:t>
            </w:r>
          </w:p>
        </w:tc>
        <w:tc>
          <w:tcPr>
            <w:tcW w:w="1082" w:type="dxa"/>
            <w:tcBorders>
              <w:top w:val="nil"/>
              <w:left w:val="nil"/>
              <w:bottom w:val="nil"/>
              <w:right w:val="single" w:sz="8" w:space="0" w:color="auto"/>
            </w:tcBorders>
            <w:vAlign w:val="center"/>
            <w:hideMark/>
          </w:tcPr>
          <w:p w14:paraId="6CF10672"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r>
      <w:tr w:rsidR="0084529A" w:rsidRPr="00EE361A" w14:paraId="63D3E620" w14:textId="77777777" w:rsidTr="006C0C76">
        <w:trPr>
          <w:trHeight w:val="459"/>
        </w:trPr>
        <w:tc>
          <w:tcPr>
            <w:tcW w:w="1357" w:type="dxa"/>
            <w:tcBorders>
              <w:top w:val="nil"/>
              <w:left w:val="single" w:sz="8" w:space="0" w:color="auto"/>
              <w:bottom w:val="nil"/>
              <w:right w:val="nil"/>
            </w:tcBorders>
            <w:vAlign w:val="center"/>
            <w:hideMark/>
          </w:tcPr>
          <w:p w14:paraId="60CD76B7" w14:textId="77777777" w:rsidR="0084529A" w:rsidRPr="00EE361A" w:rsidRDefault="0084529A" w:rsidP="006C0C76">
            <w:pPr>
              <w:rPr>
                <w:rFonts w:ascii="Calibri" w:hAnsi="Calibri" w:cs="Calibri"/>
                <w:color w:val="000000"/>
                <w:sz w:val="18"/>
                <w:szCs w:val="18"/>
              </w:rPr>
            </w:pPr>
            <w:r w:rsidRPr="00EE361A">
              <w:rPr>
                <w:rFonts w:ascii="Calibri" w:hAnsi="Calibri" w:cs="Calibri"/>
                <w:color w:val="000000"/>
                <w:sz w:val="18"/>
                <w:szCs w:val="18"/>
              </w:rPr>
              <w:t>Supranational actors</w:t>
            </w:r>
          </w:p>
        </w:tc>
        <w:tc>
          <w:tcPr>
            <w:tcW w:w="553" w:type="dxa"/>
            <w:tcBorders>
              <w:top w:val="nil"/>
              <w:left w:val="nil"/>
              <w:bottom w:val="nil"/>
              <w:right w:val="nil"/>
            </w:tcBorders>
            <w:vAlign w:val="center"/>
            <w:hideMark/>
          </w:tcPr>
          <w:p w14:paraId="4550388D"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w:t>
            </w:r>
          </w:p>
        </w:tc>
        <w:tc>
          <w:tcPr>
            <w:tcW w:w="737" w:type="dxa"/>
            <w:tcBorders>
              <w:top w:val="nil"/>
              <w:left w:val="nil"/>
              <w:bottom w:val="nil"/>
              <w:right w:val="nil"/>
            </w:tcBorders>
            <w:vAlign w:val="center"/>
            <w:hideMark/>
          </w:tcPr>
          <w:p w14:paraId="31964C8B"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834" w:type="dxa"/>
            <w:tcBorders>
              <w:top w:val="nil"/>
              <w:left w:val="nil"/>
              <w:bottom w:val="nil"/>
              <w:right w:val="nil"/>
            </w:tcBorders>
            <w:vAlign w:val="center"/>
            <w:hideMark/>
          </w:tcPr>
          <w:p w14:paraId="6E0349BC"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0.0%</w:t>
            </w:r>
          </w:p>
        </w:tc>
        <w:tc>
          <w:tcPr>
            <w:tcW w:w="894" w:type="dxa"/>
            <w:tcBorders>
              <w:top w:val="nil"/>
              <w:left w:val="nil"/>
              <w:bottom w:val="nil"/>
              <w:right w:val="nil"/>
            </w:tcBorders>
            <w:vAlign w:val="center"/>
            <w:hideMark/>
          </w:tcPr>
          <w:p w14:paraId="0F3097F4"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83.3%</w:t>
            </w:r>
          </w:p>
        </w:tc>
        <w:tc>
          <w:tcPr>
            <w:tcW w:w="1082" w:type="dxa"/>
            <w:tcBorders>
              <w:top w:val="nil"/>
              <w:left w:val="nil"/>
              <w:bottom w:val="nil"/>
              <w:right w:val="single" w:sz="8" w:space="0" w:color="auto"/>
            </w:tcBorders>
            <w:vAlign w:val="center"/>
            <w:hideMark/>
          </w:tcPr>
          <w:p w14:paraId="56421945"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16.7%</w:t>
            </w:r>
          </w:p>
        </w:tc>
        <w:tc>
          <w:tcPr>
            <w:tcW w:w="649" w:type="dxa"/>
            <w:tcBorders>
              <w:top w:val="nil"/>
              <w:left w:val="nil"/>
              <w:bottom w:val="nil"/>
              <w:right w:val="nil"/>
            </w:tcBorders>
            <w:vAlign w:val="center"/>
            <w:hideMark/>
          </w:tcPr>
          <w:p w14:paraId="40D05DA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70</w:t>
            </w:r>
          </w:p>
        </w:tc>
        <w:tc>
          <w:tcPr>
            <w:tcW w:w="737" w:type="dxa"/>
            <w:tcBorders>
              <w:top w:val="nil"/>
              <w:left w:val="nil"/>
              <w:bottom w:val="nil"/>
              <w:right w:val="nil"/>
            </w:tcBorders>
            <w:vAlign w:val="center"/>
            <w:hideMark/>
          </w:tcPr>
          <w:p w14:paraId="14A5DDF6"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12.9%</w:t>
            </w:r>
          </w:p>
        </w:tc>
        <w:tc>
          <w:tcPr>
            <w:tcW w:w="748" w:type="dxa"/>
            <w:tcBorders>
              <w:top w:val="nil"/>
              <w:left w:val="nil"/>
              <w:bottom w:val="nil"/>
              <w:right w:val="nil"/>
            </w:tcBorders>
            <w:vAlign w:val="center"/>
            <w:hideMark/>
          </w:tcPr>
          <w:p w14:paraId="3A40D75F"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21.4%</w:t>
            </w:r>
          </w:p>
        </w:tc>
        <w:tc>
          <w:tcPr>
            <w:tcW w:w="894" w:type="dxa"/>
            <w:tcBorders>
              <w:top w:val="nil"/>
              <w:left w:val="nil"/>
              <w:bottom w:val="nil"/>
              <w:right w:val="nil"/>
            </w:tcBorders>
            <w:vAlign w:val="center"/>
            <w:hideMark/>
          </w:tcPr>
          <w:p w14:paraId="64932968"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62.9%</w:t>
            </w:r>
          </w:p>
        </w:tc>
        <w:tc>
          <w:tcPr>
            <w:tcW w:w="1082" w:type="dxa"/>
            <w:tcBorders>
              <w:top w:val="nil"/>
              <w:left w:val="nil"/>
              <w:bottom w:val="nil"/>
              <w:right w:val="single" w:sz="8" w:space="0" w:color="auto"/>
            </w:tcBorders>
            <w:vAlign w:val="center"/>
            <w:hideMark/>
          </w:tcPr>
          <w:p w14:paraId="7CA86913" w14:textId="77777777" w:rsidR="0084529A" w:rsidRPr="00EE361A" w:rsidRDefault="0084529A" w:rsidP="006C0C76">
            <w:pPr>
              <w:jc w:val="center"/>
              <w:rPr>
                <w:rFonts w:ascii="Calibri" w:hAnsi="Calibri" w:cs="Calibri"/>
                <w:color w:val="000000"/>
                <w:sz w:val="18"/>
                <w:szCs w:val="18"/>
              </w:rPr>
            </w:pPr>
            <w:r w:rsidRPr="00EE361A">
              <w:rPr>
                <w:rFonts w:ascii="Calibri" w:hAnsi="Calibri" w:cs="Calibri"/>
                <w:color w:val="000000"/>
                <w:sz w:val="18"/>
                <w:szCs w:val="18"/>
              </w:rPr>
              <w:t>2.9%</w:t>
            </w:r>
          </w:p>
        </w:tc>
      </w:tr>
      <w:tr w:rsidR="0084529A" w:rsidRPr="00EE361A" w14:paraId="030532AC" w14:textId="77777777" w:rsidTr="006C0C76">
        <w:trPr>
          <w:trHeight w:val="300"/>
        </w:trPr>
        <w:tc>
          <w:tcPr>
            <w:tcW w:w="1357" w:type="dxa"/>
            <w:tcBorders>
              <w:top w:val="nil"/>
              <w:left w:val="single" w:sz="8" w:space="0" w:color="auto"/>
              <w:bottom w:val="single" w:sz="8" w:space="0" w:color="auto"/>
              <w:right w:val="nil"/>
            </w:tcBorders>
            <w:vAlign w:val="center"/>
            <w:hideMark/>
          </w:tcPr>
          <w:p w14:paraId="53304CF0"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Total</w:t>
            </w:r>
          </w:p>
        </w:tc>
        <w:tc>
          <w:tcPr>
            <w:tcW w:w="553" w:type="dxa"/>
            <w:tcBorders>
              <w:top w:val="nil"/>
              <w:left w:val="nil"/>
              <w:bottom w:val="single" w:sz="8" w:space="0" w:color="auto"/>
              <w:right w:val="nil"/>
            </w:tcBorders>
            <w:vAlign w:val="center"/>
            <w:hideMark/>
          </w:tcPr>
          <w:p w14:paraId="7F0481EE"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334</w:t>
            </w:r>
          </w:p>
        </w:tc>
        <w:tc>
          <w:tcPr>
            <w:tcW w:w="737" w:type="dxa"/>
            <w:tcBorders>
              <w:top w:val="nil"/>
              <w:left w:val="nil"/>
              <w:bottom w:val="single" w:sz="8" w:space="0" w:color="auto"/>
              <w:right w:val="nil"/>
            </w:tcBorders>
            <w:vAlign w:val="center"/>
            <w:hideMark/>
          </w:tcPr>
          <w:p w14:paraId="6AF97321"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6.6%</w:t>
            </w:r>
          </w:p>
        </w:tc>
        <w:tc>
          <w:tcPr>
            <w:tcW w:w="834" w:type="dxa"/>
            <w:tcBorders>
              <w:top w:val="nil"/>
              <w:left w:val="nil"/>
              <w:bottom w:val="single" w:sz="8" w:space="0" w:color="auto"/>
              <w:right w:val="nil"/>
            </w:tcBorders>
            <w:vAlign w:val="center"/>
            <w:hideMark/>
          </w:tcPr>
          <w:p w14:paraId="7EC2B9F0"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42.2%</w:t>
            </w:r>
          </w:p>
        </w:tc>
        <w:tc>
          <w:tcPr>
            <w:tcW w:w="894" w:type="dxa"/>
            <w:tcBorders>
              <w:top w:val="nil"/>
              <w:left w:val="nil"/>
              <w:bottom w:val="single" w:sz="8" w:space="0" w:color="auto"/>
              <w:right w:val="nil"/>
            </w:tcBorders>
            <w:vAlign w:val="center"/>
            <w:hideMark/>
          </w:tcPr>
          <w:p w14:paraId="0F641D42"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49.1%</w:t>
            </w:r>
          </w:p>
        </w:tc>
        <w:tc>
          <w:tcPr>
            <w:tcW w:w="1082" w:type="dxa"/>
            <w:tcBorders>
              <w:top w:val="nil"/>
              <w:left w:val="nil"/>
              <w:bottom w:val="single" w:sz="8" w:space="0" w:color="auto"/>
              <w:right w:val="single" w:sz="8" w:space="0" w:color="auto"/>
            </w:tcBorders>
            <w:vAlign w:val="center"/>
            <w:hideMark/>
          </w:tcPr>
          <w:p w14:paraId="0EC32434"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2.1%</w:t>
            </w:r>
          </w:p>
        </w:tc>
        <w:tc>
          <w:tcPr>
            <w:tcW w:w="649" w:type="dxa"/>
            <w:tcBorders>
              <w:top w:val="nil"/>
              <w:left w:val="nil"/>
              <w:bottom w:val="single" w:sz="8" w:space="0" w:color="auto"/>
              <w:right w:val="nil"/>
            </w:tcBorders>
            <w:vAlign w:val="center"/>
            <w:hideMark/>
          </w:tcPr>
          <w:p w14:paraId="6F508D58"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1253</w:t>
            </w:r>
          </w:p>
        </w:tc>
        <w:tc>
          <w:tcPr>
            <w:tcW w:w="737" w:type="dxa"/>
            <w:tcBorders>
              <w:top w:val="nil"/>
              <w:left w:val="nil"/>
              <w:bottom w:val="single" w:sz="8" w:space="0" w:color="auto"/>
              <w:right w:val="nil"/>
            </w:tcBorders>
            <w:vAlign w:val="center"/>
            <w:hideMark/>
          </w:tcPr>
          <w:p w14:paraId="004B5A7D"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11.1%</w:t>
            </w:r>
          </w:p>
        </w:tc>
        <w:tc>
          <w:tcPr>
            <w:tcW w:w="748" w:type="dxa"/>
            <w:tcBorders>
              <w:top w:val="nil"/>
              <w:left w:val="nil"/>
              <w:bottom w:val="single" w:sz="8" w:space="0" w:color="auto"/>
              <w:right w:val="nil"/>
            </w:tcBorders>
            <w:vAlign w:val="center"/>
            <w:hideMark/>
          </w:tcPr>
          <w:p w14:paraId="65DB2814"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32.6%</w:t>
            </w:r>
          </w:p>
        </w:tc>
        <w:tc>
          <w:tcPr>
            <w:tcW w:w="894" w:type="dxa"/>
            <w:tcBorders>
              <w:top w:val="nil"/>
              <w:left w:val="nil"/>
              <w:bottom w:val="single" w:sz="8" w:space="0" w:color="auto"/>
              <w:right w:val="nil"/>
            </w:tcBorders>
            <w:vAlign w:val="center"/>
            <w:hideMark/>
          </w:tcPr>
          <w:p w14:paraId="239D69BA"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48.2%</w:t>
            </w:r>
          </w:p>
        </w:tc>
        <w:tc>
          <w:tcPr>
            <w:tcW w:w="1082" w:type="dxa"/>
            <w:tcBorders>
              <w:top w:val="nil"/>
              <w:left w:val="nil"/>
              <w:bottom w:val="single" w:sz="8" w:space="0" w:color="auto"/>
              <w:right w:val="single" w:sz="8" w:space="0" w:color="auto"/>
            </w:tcBorders>
            <w:vAlign w:val="center"/>
            <w:hideMark/>
          </w:tcPr>
          <w:p w14:paraId="68EDB9FE" w14:textId="77777777" w:rsidR="0084529A" w:rsidRPr="00EE361A" w:rsidRDefault="0084529A" w:rsidP="006C0C76">
            <w:pPr>
              <w:jc w:val="center"/>
              <w:rPr>
                <w:rFonts w:ascii="Calibri" w:hAnsi="Calibri" w:cs="Calibri"/>
                <w:i/>
                <w:iCs/>
                <w:color w:val="000000"/>
                <w:sz w:val="18"/>
                <w:szCs w:val="18"/>
              </w:rPr>
            </w:pPr>
            <w:r w:rsidRPr="00EE361A">
              <w:rPr>
                <w:rFonts w:ascii="Calibri" w:hAnsi="Calibri" w:cs="Calibri"/>
                <w:i/>
                <w:iCs/>
                <w:color w:val="000000"/>
                <w:sz w:val="18"/>
                <w:szCs w:val="18"/>
              </w:rPr>
              <w:t>8.1%</w:t>
            </w:r>
          </w:p>
        </w:tc>
      </w:tr>
    </w:tbl>
    <w:p w14:paraId="7975AB73" w14:textId="77777777" w:rsidR="0084529A" w:rsidRPr="00EE361A" w:rsidRDefault="0084529A" w:rsidP="0084529A">
      <w:pPr>
        <w:rPr>
          <w:lang w:eastAsia="en-US"/>
        </w:rPr>
      </w:pPr>
    </w:p>
    <w:p w14:paraId="0F15D7FB" w14:textId="70B32E9A" w:rsidR="0084529A" w:rsidRPr="00EE361A" w:rsidRDefault="0084529A" w:rsidP="0084529A">
      <w:pPr>
        <w:pStyle w:val="Titolo2"/>
        <w:rPr>
          <w:rFonts w:asciiTheme="minorHAnsi" w:hAnsiTheme="minorHAnsi" w:cstheme="minorHAnsi"/>
        </w:rPr>
      </w:pPr>
      <w:r w:rsidRPr="00EE361A">
        <w:rPr>
          <w:rFonts w:asciiTheme="minorHAnsi" w:hAnsiTheme="minorHAnsi" w:cstheme="minorHAnsi"/>
        </w:rPr>
        <w:t xml:space="preserve">Contestation at the individual level: Facebook Comments </w:t>
      </w:r>
    </w:p>
    <w:p w14:paraId="540B6870" w14:textId="77777777" w:rsidR="0084529A" w:rsidRPr="00EE361A" w:rsidRDefault="0084529A" w:rsidP="0084529A">
      <w:pPr>
        <w:jc w:val="both"/>
        <w:rPr>
          <w:rFonts w:asciiTheme="minorHAnsi" w:hAnsiTheme="minorHAnsi" w:cstheme="minorHAnsi"/>
        </w:rPr>
      </w:pPr>
    </w:p>
    <w:p w14:paraId="54B269A0" w14:textId="206554E4"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The analysis of Facebook comments provides a complementary, bottom-up perspective on public debate, capturing spontaneous expressions of opinion that differ markedly from the institutional communication observed in online media. In this dataset, each comment was treated as a simplified political claim, but with an important distinction: whereas political claims in news articles typically include an identifiable sender, addressee, and a call for action, Facebook comments often function as individual </w:t>
      </w:r>
      <w:r w:rsidR="0032634B" w:rsidRPr="00EE361A">
        <w:rPr>
          <w:rFonts w:asciiTheme="minorHAnsi" w:hAnsiTheme="minorHAnsi" w:cstheme="minorHAnsi"/>
        </w:rPr>
        <w:t xml:space="preserve">expressions </w:t>
      </w:r>
      <w:r w:rsidRPr="00EE361A">
        <w:rPr>
          <w:rFonts w:asciiTheme="minorHAnsi" w:hAnsiTheme="minorHAnsi" w:cstheme="minorHAnsi"/>
        </w:rPr>
        <w:t xml:space="preserve">of blame, frustration, or support without necessarily requesting that the mentioned actor take action. For this reason, the analysis identifies the targets of comments rather than addressees in the strict sense </w:t>
      </w:r>
      <w:r w:rsidR="007723B7" w:rsidRPr="00EE361A">
        <w:rPr>
          <w:rFonts w:asciiTheme="minorHAnsi" w:hAnsiTheme="minorHAnsi" w:cstheme="minorHAnsi"/>
        </w:rPr>
        <w:t>of</w:t>
      </w:r>
      <w:r w:rsidRPr="00EE361A">
        <w:rPr>
          <w:rFonts w:asciiTheme="minorHAnsi" w:hAnsiTheme="minorHAnsi" w:cstheme="minorHAnsi"/>
        </w:rPr>
        <w:t xml:space="preserve"> media claims</w:t>
      </w:r>
      <w:r w:rsidR="007723B7" w:rsidRPr="00EE361A">
        <w:rPr>
          <w:rFonts w:asciiTheme="minorHAnsi" w:hAnsiTheme="minorHAnsi" w:cstheme="minorHAnsi"/>
        </w:rPr>
        <w:t xml:space="preserve"> analysis. The comments reflect patterns of contestation in response to articles that triggered </w:t>
      </w:r>
      <w:r w:rsidR="007723B7" w:rsidRPr="00EE361A">
        <w:rPr>
          <w:rFonts w:asciiTheme="minorHAnsi" w:hAnsiTheme="minorHAnsi" w:cstheme="minorHAnsi"/>
        </w:rPr>
        <w:lastRenderedPageBreak/>
        <w:t>high levels of engagement. This does not necessarily align with users' usual commenting habits on Facebook.</w:t>
      </w:r>
    </w:p>
    <w:p w14:paraId="4460F865" w14:textId="77777777" w:rsidR="0032634B" w:rsidRPr="00EE361A" w:rsidRDefault="0032634B" w:rsidP="0084529A">
      <w:pPr>
        <w:jc w:val="both"/>
        <w:rPr>
          <w:rFonts w:asciiTheme="minorHAnsi" w:hAnsiTheme="minorHAnsi" w:cstheme="minorHAnsi"/>
        </w:rPr>
      </w:pPr>
    </w:p>
    <w:p w14:paraId="00FBE530" w14:textId="046AA1AA"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Table 4 shows that state actors were the most frequently targeted </w:t>
      </w:r>
      <w:r w:rsidR="0032634B" w:rsidRPr="00EE361A">
        <w:rPr>
          <w:rFonts w:asciiTheme="minorHAnsi" w:hAnsiTheme="minorHAnsi" w:cstheme="minorHAnsi"/>
        </w:rPr>
        <w:t xml:space="preserve">category </w:t>
      </w:r>
      <w:r w:rsidRPr="00EE361A">
        <w:rPr>
          <w:rFonts w:asciiTheme="minorHAnsi" w:hAnsiTheme="minorHAnsi" w:cstheme="minorHAnsi"/>
        </w:rPr>
        <w:t xml:space="preserve">across all periods, though their share declined slightly from 34.9 per cent in the first period to 30.1 per cent in the third. Society and civil-society actors followed closely and became increasingly prominent, rising from </w:t>
      </w:r>
      <w:r w:rsidR="002269C9" w:rsidRPr="00EE361A">
        <w:rPr>
          <w:rFonts w:asciiTheme="minorHAnsi" w:hAnsiTheme="minorHAnsi" w:cstheme="minorHAnsi"/>
        </w:rPr>
        <w:t>22</w:t>
      </w:r>
      <w:r w:rsidRPr="00EE361A">
        <w:rPr>
          <w:rFonts w:asciiTheme="minorHAnsi" w:hAnsiTheme="minorHAnsi" w:cstheme="minorHAnsi"/>
        </w:rPr>
        <w:t>.</w:t>
      </w:r>
      <w:r w:rsidR="002269C9" w:rsidRPr="00EE361A">
        <w:rPr>
          <w:rFonts w:asciiTheme="minorHAnsi" w:hAnsiTheme="minorHAnsi" w:cstheme="minorHAnsi"/>
        </w:rPr>
        <w:t xml:space="preserve">1 </w:t>
      </w:r>
      <w:r w:rsidRPr="00EE361A">
        <w:rPr>
          <w:rFonts w:asciiTheme="minorHAnsi" w:hAnsiTheme="minorHAnsi" w:cstheme="minorHAnsi"/>
        </w:rPr>
        <w:t xml:space="preserve">per cent to </w:t>
      </w:r>
      <w:r w:rsidR="002269C9" w:rsidRPr="00EE361A">
        <w:rPr>
          <w:rFonts w:asciiTheme="minorHAnsi" w:hAnsiTheme="minorHAnsi" w:cstheme="minorHAnsi"/>
        </w:rPr>
        <w:t>38</w:t>
      </w:r>
      <w:r w:rsidRPr="00EE361A">
        <w:rPr>
          <w:rFonts w:asciiTheme="minorHAnsi" w:hAnsiTheme="minorHAnsi" w:cstheme="minorHAnsi"/>
        </w:rPr>
        <w:t xml:space="preserve">.0 per cent over the same period. This shift suggests that criticism gradually moved from </w:t>
      </w:r>
      <w:r w:rsidR="0032634B" w:rsidRPr="00EE361A">
        <w:rPr>
          <w:rFonts w:asciiTheme="minorHAnsi" w:hAnsiTheme="minorHAnsi" w:cstheme="minorHAnsi"/>
        </w:rPr>
        <w:t xml:space="preserve">government-centred </w:t>
      </w:r>
      <w:r w:rsidRPr="00EE361A">
        <w:rPr>
          <w:rFonts w:asciiTheme="minorHAnsi" w:hAnsiTheme="minorHAnsi" w:cstheme="minorHAnsi"/>
        </w:rPr>
        <w:t xml:space="preserve">to internal disagreements among citizens, indicating a process of growing social polarization </w:t>
      </w:r>
      <w:r w:rsidR="0032634B" w:rsidRPr="00EE361A">
        <w:rPr>
          <w:rFonts w:asciiTheme="minorHAnsi" w:hAnsiTheme="minorHAnsi" w:cstheme="minorHAnsi"/>
        </w:rPr>
        <w:t>between</w:t>
      </w:r>
      <w:r w:rsidRPr="00EE361A">
        <w:rPr>
          <w:rFonts w:asciiTheme="minorHAnsi" w:hAnsiTheme="minorHAnsi" w:cstheme="minorHAnsi"/>
        </w:rPr>
        <w:t xml:space="preserve"> </w:t>
      </w:r>
      <w:r w:rsidR="00294911" w:rsidRPr="00EE361A">
        <w:rPr>
          <w:rFonts w:asciiTheme="minorHAnsi" w:hAnsiTheme="minorHAnsi" w:cstheme="minorHAnsi"/>
        </w:rPr>
        <w:t xml:space="preserve">supporters of government </w:t>
      </w:r>
      <w:r w:rsidRPr="00EE361A">
        <w:rPr>
          <w:rFonts w:asciiTheme="minorHAnsi" w:hAnsiTheme="minorHAnsi" w:cstheme="minorHAnsi"/>
        </w:rPr>
        <w:t>measures</w:t>
      </w:r>
      <w:r w:rsidR="0032634B" w:rsidRPr="00EE361A">
        <w:rPr>
          <w:rFonts w:asciiTheme="minorHAnsi" w:hAnsiTheme="minorHAnsi" w:cstheme="minorHAnsi"/>
        </w:rPr>
        <w:t xml:space="preserve"> </w:t>
      </w:r>
      <w:r w:rsidRPr="00EE361A">
        <w:rPr>
          <w:rFonts w:asciiTheme="minorHAnsi" w:hAnsiTheme="minorHAnsi" w:cstheme="minorHAnsi"/>
        </w:rPr>
        <w:t xml:space="preserve">and those </w:t>
      </w:r>
      <w:r w:rsidR="0032634B" w:rsidRPr="00EE361A">
        <w:rPr>
          <w:rFonts w:asciiTheme="minorHAnsi" w:hAnsiTheme="minorHAnsi" w:cstheme="minorHAnsi"/>
        </w:rPr>
        <w:t>expressing scepticism or endorsing conspiracy narratives</w:t>
      </w:r>
      <w:r w:rsidRPr="00EE361A">
        <w:rPr>
          <w:rFonts w:asciiTheme="minorHAnsi" w:hAnsiTheme="minorHAnsi" w:cstheme="minorHAnsi"/>
        </w:rPr>
        <w:t xml:space="preserve">. Other actor categories remained </w:t>
      </w:r>
      <w:r w:rsidR="0032634B" w:rsidRPr="00EE361A">
        <w:rPr>
          <w:rFonts w:asciiTheme="minorHAnsi" w:hAnsiTheme="minorHAnsi" w:cstheme="minorHAnsi"/>
        </w:rPr>
        <w:t>comparative</w:t>
      </w:r>
      <w:r w:rsidR="00FD437A" w:rsidRPr="00EE361A">
        <w:rPr>
          <w:rFonts w:asciiTheme="minorHAnsi" w:hAnsiTheme="minorHAnsi" w:cstheme="minorHAnsi"/>
        </w:rPr>
        <w:t>ly</w:t>
      </w:r>
      <w:r w:rsidR="0032634B" w:rsidRPr="00EE361A">
        <w:rPr>
          <w:rFonts w:asciiTheme="minorHAnsi" w:hAnsiTheme="minorHAnsi" w:cstheme="minorHAnsi"/>
        </w:rPr>
        <w:t xml:space="preserve"> marginal</w:t>
      </w:r>
      <w:r w:rsidRPr="00EE361A">
        <w:rPr>
          <w:rFonts w:asciiTheme="minorHAnsi" w:hAnsiTheme="minorHAnsi" w:cstheme="minorHAnsi"/>
        </w:rPr>
        <w:t xml:space="preserve">. Economic actors represented </w:t>
      </w:r>
      <w:r w:rsidR="002269C9" w:rsidRPr="00EE361A">
        <w:rPr>
          <w:rFonts w:asciiTheme="minorHAnsi" w:hAnsiTheme="minorHAnsi" w:cstheme="minorHAnsi"/>
        </w:rPr>
        <w:t>19.0</w:t>
      </w:r>
      <w:r w:rsidR="001521C5" w:rsidRPr="00EE361A">
        <w:rPr>
          <w:rFonts w:asciiTheme="minorHAnsi" w:hAnsiTheme="minorHAnsi" w:cstheme="minorHAnsi"/>
        </w:rPr>
        <w:t xml:space="preserve"> </w:t>
      </w:r>
      <w:r w:rsidRPr="00EE361A">
        <w:rPr>
          <w:rFonts w:asciiTheme="minorHAnsi" w:hAnsiTheme="minorHAnsi" w:cstheme="minorHAnsi"/>
        </w:rPr>
        <w:t xml:space="preserve">per cent of targets in the first period and </w:t>
      </w:r>
      <w:r w:rsidR="002269C9" w:rsidRPr="00EE361A">
        <w:rPr>
          <w:rFonts w:asciiTheme="minorHAnsi" w:hAnsiTheme="minorHAnsi" w:cstheme="minorHAnsi"/>
        </w:rPr>
        <w:t>17.3</w:t>
      </w:r>
      <w:r w:rsidRPr="00EE361A">
        <w:rPr>
          <w:rFonts w:asciiTheme="minorHAnsi" w:hAnsiTheme="minorHAnsi" w:cstheme="minorHAnsi"/>
        </w:rPr>
        <w:t xml:space="preserve"> per cent in the third, while health-related actors </w:t>
      </w:r>
      <w:r w:rsidR="0032634B" w:rsidRPr="00EE361A">
        <w:rPr>
          <w:rFonts w:asciiTheme="minorHAnsi" w:hAnsiTheme="minorHAnsi" w:cstheme="minorHAnsi"/>
        </w:rPr>
        <w:t xml:space="preserve">declined from </w:t>
      </w:r>
      <w:r w:rsidR="002269C9" w:rsidRPr="00EE361A">
        <w:rPr>
          <w:rFonts w:asciiTheme="minorHAnsi" w:hAnsiTheme="minorHAnsi" w:cstheme="minorHAnsi"/>
        </w:rPr>
        <w:t>5.0</w:t>
      </w:r>
      <w:r w:rsidRPr="00EE361A">
        <w:rPr>
          <w:rFonts w:asciiTheme="minorHAnsi" w:hAnsiTheme="minorHAnsi" w:cstheme="minorHAnsi"/>
        </w:rPr>
        <w:t xml:space="preserve"> per cent initially </w:t>
      </w:r>
      <w:r w:rsidR="0032634B" w:rsidRPr="00EE361A">
        <w:rPr>
          <w:rFonts w:asciiTheme="minorHAnsi" w:hAnsiTheme="minorHAnsi" w:cstheme="minorHAnsi"/>
        </w:rPr>
        <w:t xml:space="preserve">to </w:t>
      </w:r>
      <w:r w:rsidR="002269C9" w:rsidRPr="00EE361A">
        <w:rPr>
          <w:rFonts w:asciiTheme="minorHAnsi" w:hAnsiTheme="minorHAnsi" w:cstheme="minorHAnsi"/>
        </w:rPr>
        <w:t>3.8</w:t>
      </w:r>
      <w:r w:rsidRPr="00EE361A">
        <w:rPr>
          <w:rFonts w:asciiTheme="minorHAnsi" w:hAnsiTheme="minorHAnsi" w:cstheme="minorHAnsi"/>
        </w:rPr>
        <w:t xml:space="preserve"> per cent. </w:t>
      </w:r>
      <w:r w:rsidR="00F37D00" w:rsidRPr="00EE361A">
        <w:rPr>
          <w:rFonts w:asciiTheme="minorHAnsi" w:hAnsiTheme="minorHAnsi" w:cstheme="minorHAnsi"/>
        </w:rPr>
        <w:t xml:space="preserve">The fact that scientific experts on health were not considered to be important targets suggests that Facebook users primarily perceived state authorities to be responsible for pandemic management. </w:t>
      </w:r>
      <w:r w:rsidRPr="00EE361A">
        <w:rPr>
          <w:rFonts w:asciiTheme="minorHAnsi" w:hAnsiTheme="minorHAnsi" w:cstheme="minorHAnsi"/>
        </w:rPr>
        <w:t xml:space="preserve">. Supranational actors, were marginal, appearing in </w:t>
      </w:r>
      <w:r w:rsidR="00965056" w:rsidRPr="00EE361A">
        <w:rPr>
          <w:rFonts w:asciiTheme="minorHAnsi" w:hAnsiTheme="minorHAnsi" w:cstheme="minorHAnsi"/>
        </w:rPr>
        <w:t>two</w:t>
      </w:r>
      <w:r w:rsidRPr="00EE361A">
        <w:rPr>
          <w:rFonts w:asciiTheme="minorHAnsi" w:hAnsiTheme="minorHAnsi" w:cstheme="minorHAnsi"/>
        </w:rPr>
        <w:t xml:space="preserve"> per cent of comments throughout the period.</w:t>
      </w:r>
      <w:r w:rsidR="00D640CC" w:rsidRPr="00EE361A">
        <w:rPr>
          <w:rFonts w:asciiTheme="minorHAnsi" w:hAnsiTheme="minorHAnsi" w:cstheme="minorHAnsi"/>
        </w:rPr>
        <w:t xml:space="preserve"> </w:t>
      </w:r>
    </w:p>
    <w:p w14:paraId="32C9C66A" w14:textId="77777777" w:rsidR="003D4112" w:rsidRPr="00EE361A" w:rsidRDefault="003D4112" w:rsidP="0084529A">
      <w:pPr>
        <w:jc w:val="both"/>
        <w:rPr>
          <w:rFonts w:asciiTheme="minorHAnsi" w:hAnsiTheme="minorHAnsi" w:cstheme="minorHAnsi"/>
        </w:rPr>
      </w:pPr>
    </w:p>
    <w:p w14:paraId="16BAA093" w14:textId="7F28C081" w:rsidR="0084529A" w:rsidRPr="00EE361A" w:rsidRDefault="0084529A" w:rsidP="0084529A">
      <w:pPr>
        <w:jc w:val="both"/>
        <w:rPr>
          <w:rFonts w:asciiTheme="minorHAnsi" w:hAnsiTheme="minorHAnsi" w:cstheme="minorHAnsi"/>
        </w:rPr>
      </w:pPr>
    </w:p>
    <w:p w14:paraId="10AEE9DE" w14:textId="2ACE90FA" w:rsidR="0084529A" w:rsidRPr="00EE361A" w:rsidRDefault="0092749F" w:rsidP="0084529A">
      <w:pPr>
        <w:pStyle w:val="Didascalia"/>
        <w:keepNext/>
        <w:jc w:val="both"/>
        <w:rPr>
          <w:rFonts w:cstheme="minorHAnsi"/>
        </w:rPr>
      </w:pPr>
      <w:r w:rsidRPr="00EE361A">
        <w:rPr>
          <w:rFonts w:cstheme="minorHAnsi"/>
        </w:rPr>
        <w:t xml:space="preserve">Table  </w:t>
      </w:r>
      <w:r w:rsidR="0084529A" w:rsidRPr="00EE361A">
        <w:rPr>
          <w:rFonts w:cstheme="minorHAnsi"/>
        </w:rPr>
        <w:t xml:space="preserve">4 </w:t>
      </w:r>
      <w:r w:rsidRPr="00EE361A">
        <w:rPr>
          <w:rFonts w:cstheme="minorHAnsi"/>
        </w:rPr>
        <w:t>T</w:t>
      </w:r>
      <w:r w:rsidR="0084529A" w:rsidRPr="00EE361A">
        <w:rPr>
          <w:rFonts w:cstheme="minorHAnsi"/>
        </w:rPr>
        <w:t>argets of Facebook Comments by period (in percentages)</w:t>
      </w:r>
    </w:p>
    <w:tbl>
      <w:tblPr>
        <w:tblW w:w="8684" w:type="dxa"/>
        <w:tblLook w:val="04A0" w:firstRow="1" w:lastRow="0" w:firstColumn="1" w:lastColumn="0" w:noHBand="0" w:noVBand="1"/>
      </w:tblPr>
      <w:tblGrid>
        <w:gridCol w:w="3666"/>
        <w:gridCol w:w="1253"/>
        <w:gridCol w:w="1253"/>
        <w:gridCol w:w="1253"/>
        <w:gridCol w:w="1259"/>
      </w:tblGrid>
      <w:tr w:rsidR="0084529A" w:rsidRPr="00EE361A" w14:paraId="4BA8F28C" w14:textId="77777777" w:rsidTr="006C0C76">
        <w:trPr>
          <w:trHeight w:val="541"/>
        </w:trPr>
        <w:tc>
          <w:tcPr>
            <w:tcW w:w="3666" w:type="dxa"/>
            <w:vMerge w:val="restart"/>
            <w:tcBorders>
              <w:top w:val="single" w:sz="4" w:space="0" w:color="auto"/>
              <w:left w:val="nil"/>
              <w:bottom w:val="single" w:sz="4" w:space="0" w:color="000000"/>
              <w:right w:val="nil"/>
            </w:tcBorders>
            <w:noWrap/>
            <w:vAlign w:val="center"/>
            <w:hideMark/>
          </w:tcPr>
          <w:p w14:paraId="214EA18C"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Targets</w:t>
            </w:r>
          </w:p>
        </w:tc>
        <w:tc>
          <w:tcPr>
            <w:tcW w:w="5018" w:type="dxa"/>
            <w:gridSpan w:val="4"/>
            <w:tcBorders>
              <w:top w:val="single" w:sz="4" w:space="0" w:color="auto"/>
              <w:left w:val="nil"/>
              <w:bottom w:val="nil"/>
              <w:right w:val="nil"/>
            </w:tcBorders>
            <w:noWrap/>
            <w:vAlign w:val="center"/>
            <w:hideMark/>
          </w:tcPr>
          <w:p w14:paraId="60983EAA"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Period</w:t>
            </w:r>
          </w:p>
        </w:tc>
      </w:tr>
      <w:tr w:rsidR="0084529A" w:rsidRPr="00EE361A" w14:paraId="52978B9F" w14:textId="77777777" w:rsidTr="006C0C76">
        <w:trPr>
          <w:trHeight w:val="541"/>
        </w:trPr>
        <w:tc>
          <w:tcPr>
            <w:tcW w:w="3666" w:type="dxa"/>
            <w:vMerge/>
            <w:tcBorders>
              <w:top w:val="single" w:sz="4" w:space="0" w:color="auto"/>
              <w:left w:val="nil"/>
              <w:bottom w:val="single" w:sz="4" w:space="0" w:color="000000"/>
              <w:right w:val="nil"/>
            </w:tcBorders>
            <w:vAlign w:val="center"/>
            <w:hideMark/>
          </w:tcPr>
          <w:p w14:paraId="2B6DC931" w14:textId="77777777" w:rsidR="0084529A" w:rsidRPr="00EE361A" w:rsidRDefault="0084529A" w:rsidP="006C0C76">
            <w:pPr>
              <w:rPr>
                <w:rFonts w:ascii="Aptos Narrow" w:hAnsi="Aptos Narrow"/>
                <w:b/>
                <w:bCs/>
                <w:color w:val="000000"/>
              </w:rPr>
            </w:pPr>
          </w:p>
        </w:tc>
        <w:tc>
          <w:tcPr>
            <w:tcW w:w="1253" w:type="dxa"/>
            <w:tcBorders>
              <w:top w:val="single" w:sz="4" w:space="0" w:color="auto"/>
              <w:left w:val="nil"/>
              <w:bottom w:val="single" w:sz="4" w:space="0" w:color="auto"/>
              <w:right w:val="nil"/>
            </w:tcBorders>
            <w:noWrap/>
            <w:vAlign w:val="center"/>
            <w:hideMark/>
          </w:tcPr>
          <w:p w14:paraId="2DCC1898"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1st</w:t>
            </w:r>
          </w:p>
        </w:tc>
        <w:tc>
          <w:tcPr>
            <w:tcW w:w="1253" w:type="dxa"/>
            <w:tcBorders>
              <w:top w:val="single" w:sz="4" w:space="0" w:color="auto"/>
              <w:left w:val="nil"/>
              <w:bottom w:val="single" w:sz="4" w:space="0" w:color="auto"/>
              <w:right w:val="nil"/>
            </w:tcBorders>
            <w:noWrap/>
            <w:vAlign w:val="center"/>
            <w:hideMark/>
          </w:tcPr>
          <w:p w14:paraId="09D8571D"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2nd</w:t>
            </w:r>
          </w:p>
        </w:tc>
        <w:tc>
          <w:tcPr>
            <w:tcW w:w="1253" w:type="dxa"/>
            <w:tcBorders>
              <w:top w:val="single" w:sz="4" w:space="0" w:color="auto"/>
              <w:left w:val="nil"/>
              <w:bottom w:val="single" w:sz="4" w:space="0" w:color="auto"/>
              <w:right w:val="nil"/>
            </w:tcBorders>
            <w:noWrap/>
            <w:vAlign w:val="center"/>
            <w:hideMark/>
          </w:tcPr>
          <w:p w14:paraId="4B92A97C"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3rd</w:t>
            </w:r>
          </w:p>
        </w:tc>
        <w:tc>
          <w:tcPr>
            <w:tcW w:w="1257" w:type="dxa"/>
            <w:tcBorders>
              <w:top w:val="single" w:sz="4" w:space="0" w:color="auto"/>
              <w:left w:val="nil"/>
              <w:bottom w:val="single" w:sz="4" w:space="0" w:color="auto"/>
              <w:right w:val="nil"/>
            </w:tcBorders>
            <w:noWrap/>
            <w:vAlign w:val="center"/>
            <w:hideMark/>
          </w:tcPr>
          <w:p w14:paraId="547CCB7E"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Total</w:t>
            </w:r>
          </w:p>
        </w:tc>
      </w:tr>
      <w:tr w:rsidR="0084529A" w:rsidRPr="00EE361A" w14:paraId="4334F4A4" w14:textId="77777777" w:rsidTr="006C0C76">
        <w:trPr>
          <w:trHeight w:val="541"/>
        </w:trPr>
        <w:tc>
          <w:tcPr>
            <w:tcW w:w="3666" w:type="dxa"/>
            <w:tcBorders>
              <w:top w:val="nil"/>
              <w:left w:val="nil"/>
              <w:bottom w:val="nil"/>
              <w:right w:val="nil"/>
            </w:tcBorders>
            <w:noWrap/>
            <w:vAlign w:val="center"/>
            <w:hideMark/>
          </w:tcPr>
          <w:p w14:paraId="1AD42D5A" w14:textId="77777777" w:rsidR="0084529A" w:rsidRPr="00EE361A" w:rsidRDefault="0084529A" w:rsidP="006C0C76">
            <w:pPr>
              <w:rPr>
                <w:rFonts w:ascii="Aptos Narrow" w:hAnsi="Aptos Narrow"/>
                <w:color w:val="000000"/>
              </w:rPr>
            </w:pPr>
            <w:r w:rsidRPr="00EE361A">
              <w:rPr>
                <w:rFonts w:ascii="Aptos Narrow" w:hAnsi="Aptos Narrow"/>
                <w:color w:val="000000"/>
              </w:rPr>
              <w:t>State Actors-Authorities</w:t>
            </w:r>
          </w:p>
        </w:tc>
        <w:tc>
          <w:tcPr>
            <w:tcW w:w="1253" w:type="dxa"/>
            <w:tcBorders>
              <w:top w:val="nil"/>
              <w:left w:val="nil"/>
              <w:bottom w:val="nil"/>
              <w:right w:val="nil"/>
            </w:tcBorders>
            <w:noWrap/>
            <w:vAlign w:val="center"/>
            <w:hideMark/>
          </w:tcPr>
          <w:p w14:paraId="58DCA053"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34.9%</w:t>
            </w:r>
          </w:p>
        </w:tc>
        <w:tc>
          <w:tcPr>
            <w:tcW w:w="1253" w:type="dxa"/>
            <w:tcBorders>
              <w:top w:val="nil"/>
              <w:left w:val="nil"/>
              <w:bottom w:val="nil"/>
              <w:right w:val="nil"/>
            </w:tcBorders>
            <w:noWrap/>
            <w:vAlign w:val="center"/>
            <w:hideMark/>
          </w:tcPr>
          <w:p w14:paraId="22FF66B2"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34.1%</w:t>
            </w:r>
          </w:p>
        </w:tc>
        <w:tc>
          <w:tcPr>
            <w:tcW w:w="1253" w:type="dxa"/>
            <w:tcBorders>
              <w:top w:val="nil"/>
              <w:left w:val="nil"/>
              <w:bottom w:val="nil"/>
              <w:right w:val="nil"/>
            </w:tcBorders>
            <w:noWrap/>
            <w:vAlign w:val="center"/>
            <w:hideMark/>
          </w:tcPr>
          <w:p w14:paraId="3B138CA3"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30.1%</w:t>
            </w:r>
          </w:p>
        </w:tc>
        <w:tc>
          <w:tcPr>
            <w:tcW w:w="1257" w:type="dxa"/>
            <w:tcBorders>
              <w:top w:val="nil"/>
              <w:left w:val="nil"/>
              <w:bottom w:val="nil"/>
              <w:right w:val="nil"/>
            </w:tcBorders>
            <w:noWrap/>
            <w:vAlign w:val="center"/>
            <w:hideMark/>
          </w:tcPr>
          <w:p w14:paraId="7807181C"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33.2%</w:t>
            </w:r>
          </w:p>
        </w:tc>
      </w:tr>
      <w:tr w:rsidR="0084529A" w:rsidRPr="00EE361A" w14:paraId="4AB00A8B" w14:textId="77777777" w:rsidTr="006C0C76">
        <w:trPr>
          <w:trHeight w:val="541"/>
        </w:trPr>
        <w:tc>
          <w:tcPr>
            <w:tcW w:w="3666" w:type="dxa"/>
            <w:tcBorders>
              <w:top w:val="nil"/>
              <w:left w:val="nil"/>
              <w:bottom w:val="nil"/>
              <w:right w:val="nil"/>
            </w:tcBorders>
            <w:noWrap/>
            <w:vAlign w:val="center"/>
            <w:hideMark/>
          </w:tcPr>
          <w:p w14:paraId="619A04D4" w14:textId="43DA8A14" w:rsidR="0084529A" w:rsidRPr="00EE361A" w:rsidRDefault="0084529A" w:rsidP="006C0C76">
            <w:pPr>
              <w:rPr>
                <w:rFonts w:ascii="Aptos Narrow" w:hAnsi="Aptos Narrow"/>
                <w:color w:val="000000"/>
              </w:rPr>
            </w:pPr>
            <w:r w:rsidRPr="00EE361A">
              <w:rPr>
                <w:rFonts w:ascii="Aptos Narrow" w:hAnsi="Aptos Narrow"/>
                <w:color w:val="000000"/>
              </w:rPr>
              <w:t xml:space="preserve">Political </w:t>
            </w:r>
            <w:r w:rsidR="00E50B7B" w:rsidRPr="00EE361A">
              <w:rPr>
                <w:rFonts w:ascii="Aptos Narrow" w:hAnsi="Aptos Narrow"/>
                <w:color w:val="000000"/>
              </w:rPr>
              <w:t>A</w:t>
            </w:r>
            <w:r w:rsidRPr="00EE361A">
              <w:rPr>
                <w:rFonts w:ascii="Aptos Narrow" w:hAnsi="Aptos Narrow"/>
                <w:color w:val="000000"/>
              </w:rPr>
              <w:t>ctors</w:t>
            </w:r>
          </w:p>
        </w:tc>
        <w:tc>
          <w:tcPr>
            <w:tcW w:w="1253" w:type="dxa"/>
            <w:tcBorders>
              <w:top w:val="nil"/>
              <w:left w:val="nil"/>
              <w:bottom w:val="nil"/>
              <w:right w:val="nil"/>
            </w:tcBorders>
            <w:noWrap/>
            <w:vAlign w:val="center"/>
            <w:hideMark/>
          </w:tcPr>
          <w:p w14:paraId="6CB81D44"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7.8%</w:t>
            </w:r>
          </w:p>
        </w:tc>
        <w:tc>
          <w:tcPr>
            <w:tcW w:w="1253" w:type="dxa"/>
            <w:tcBorders>
              <w:top w:val="nil"/>
              <w:left w:val="nil"/>
              <w:bottom w:val="nil"/>
              <w:right w:val="nil"/>
            </w:tcBorders>
            <w:noWrap/>
            <w:vAlign w:val="center"/>
            <w:hideMark/>
          </w:tcPr>
          <w:p w14:paraId="6E47BB40"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9.0%</w:t>
            </w:r>
          </w:p>
        </w:tc>
        <w:tc>
          <w:tcPr>
            <w:tcW w:w="1253" w:type="dxa"/>
            <w:tcBorders>
              <w:top w:val="nil"/>
              <w:left w:val="nil"/>
              <w:bottom w:val="nil"/>
              <w:right w:val="nil"/>
            </w:tcBorders>
            <w:noWrap/>
            <w:vAlign w:val="center"/>
            <w:hideMark/>
          </w:tcPr>
          <w:p w14:paraId="50E788B3"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8.5%</w:t>
            </w:r>
          </w:p>
        </w:tc>
        <w:tc>
          <w:tcPr>
            <w:tcW w:w="1257" w:type="dxa"/>
            <w:tcBorders>
              <w:top w:val="nil"/>
              <w:left w:val="nil"/>
              <w:bottom w:val="nil"/>
              <w:right w:val="nil"/>
            </w:tcBorders>
            <w:noWrap/>
            <w:vAlign w:val="center"/>
            <w:hideMark/>
          </w:tcPr>
          <w:p w14:paraId="5D741E02"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8.6%</w:t>
            </w:r>
          </w:p>
        </w:tc>
      </w:tr>
      <w:tr w:rsidR="0084529A" w:rsidRPr="00EE361A" w14:paraId="195ECE3D" w14:textId="77777777" w:rsidTr="006C0C76">
        <w:trPr>
          <w:trHeight w:val="541"/>
        </w:trPr>
        <w:tc>
          <w:tcPr>
            <w:tcW w:w="3666" w:type="dxa"/>
            <w:tcBorders>
              <w:top w:val="nil"/>
              <w:left w:val="nil"/>
              <w:bottom w:val="nil"/>
              <w:right w:val="nil"/>
            </w:tcBorders>
            <w:noWrap/>
            <w:vAlign w:val="center"/>
            <w:hideMark/>
          </w:tcPr>
          <w:p w14:paraId="5E914BD6" w14:textId="05C9F36B" w:rsidR="0084529A" w:rsidRPr="00EE361A" w:rsidRDefault="0084529A" w:rsidP="006C0C76">
            <w:pPr>
              <w:rPr>
                <w:rFonts w:ascii="Aptos Narrow" w:hAnsi="Aptos Narrow"/>
                <w:color w:val="000000"/>
              </w:rPr>
            </w:pPr>
            <w:r w:rsidRPr="00EE361A">
              <w:rPr>
                <w:rFonts w:ascii="Aptos Narrow" w:hAnsi="Aptos Narrow"/>
                <w:color w:val="000000"/>
              </w:rPr>
              <w:t xml:space="preserve">Economic </w:t>
            </w:r>
            <w:r w:rsidR="00E50B7B" w:rsidRPr="00EE361A">
              <w:rPr>
                <w:rFonts w:ascii="Aptos Narrow" w:hAnsi="Aptos Narrow"/>
                <w:color w:val="000000"/>
              </w:rPr>
              <w:t>A</w:t>
            </w:r>
            <w:r w:rsidRPr="00EE361A">
              <w:rPr>
                <w:rFonts w:ascii="Aptos Narrow" w:hAnsi="Aptos Narrow"/>
                <w:color w:val="000000"/>
              </w:rPr>
              <w:t xml:space="preserve">ctors </w:t>
            </w:r>
          </w:p>
        </w:tc>
        <w:tc>
          <w:tcPr>
            <w:tcW w:w="1253" w:type="dxa"/>
            <w:tcBorders>
              <w:top w:val="nil"/>
              <w:left w:val="nil"/>
              <w:bottom w:val="nil"/>
              <w:right w:val="nil"/>
            </w:tcBorders>
            <w:noWrap/>
            <w:vAlign w:val="center"/>
            <w:hideMark/>
          </w:tcPr>
          <w:p w14:paraId="07174CAD"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19.0%</w:t>
            </w:r>
          </w:p>
        </w:tc>
        <w:tc>
          <w:tcPr>
            <w:tcW w:w="1253" w:type="dxa"/>
            <w:tcBorders>
              <w:top w:val="nil"/>
              <w:left w:val="nil"/>
              <w:bottom w:val="nil"/>
              <w:right w:val="nil"/>
            </w:tcBorders>
            <w:noWrap/>
            <w:vAlign w:val="center"/>
            <w:hideMark/>
          </w:tcPr>
          <w:p w14:paraId="23E54CF6"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18.2%</w:t>
            </w:r>
          </w:p>
        </w:tc>
        <w:tc>
          <w:tcPr>
            <w:tcW w:w="1253" w:type="dxa"/>
            <w:tcBorders>
              <w:top w:val="nil"/>
              <w:left w:val="nil"/>
              <w:bottom w:val="nil"/>
              <w:right w:val="nil"/>
            </w:tcBorders>
            <w:noWrap/>
            <w:vAlign w:val="center"/>
            <w:hideMark/>
          </w:tcPr>
          <w:p w14:paraId="2EC6311D"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17.3%</w:t>
            </w:r>
          </w:p>
        </w:tc>
        <w:tc>
          <w:tcPr>
            <w:tcW w:w="1257" w:type="dxa"/>
            <w:tcBorders>
              <w:top w:val="nil"/>
              <w:left w:val="nil"/>
              <w:bottom w:val="nil"/>
              <w:right w:val="nil"/>
            </w:tcBorders>
            <w:noWrap/>
            <w:vAlign w:val="center"/>
            <w:hideMark/>
          </w:tcPr>
          <w:p w14:paraId="045704C6"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18.1%</w:t>
            </w:r>
          </w:p>
        </w:tc>
      </w:tr>
      <w:tr w:rsidR="0084529A" w:rsidRPr="00EE361A" w14:paraId="3A4A62BF" w14:textId="77777777" w:rsidTr="006C0C76">
        <w:trPr>
          <w:trHeight w:val="541"/>
        </w:trPr>
        <w:tc>
          <w:tcPr>
            <w:tcW w:w="3666" w:type="dxa"/>
            <w:tcBorders>
              <w:top w:val="nil"/>
              <w:left w:val="nil"/>
              <w:bottom w:val="nil"/>
              <w:right w:val="nil"/>
            </w:tcBorders>
            <w:noWrap/>
            <w:vAlign w:val="bottom"/>
            <w:hideMark/>
          </w:tcPr>
          <w:p w14:paraId="651AB760" w14:textId="61FCF939" w:rsidR="0084529A" w:rsidRPr="00EE361A" w:rsidRDefault="0084529A" w:rsidP="006C0C76">
            <w:pPr>
              <w:rPr>
                <w:rFonts w:ascii="Aptos Narrow" w:hAnsi="Aptos Narrow"/>
                <w:color w:val="000000"/>
              </w:rPr>
            </w:pPr>
            <w:r w:rsidRPr="00EE361A">
              <w:rPr>
                <w:rFonts w:ascii="Aptos Narrow" w:hAnsi="Aptos Narrow"/>
                <w:color w:val="000000"/>
              </w:rPr>
              <w:t xml:space="preserve">Labor </w:t>
            </w:r>
            <w:r w:rsidR="00E50B7B" w:rsidRPr="00EE361A">
              <w:rPr>
                <w:rFonts w:ascii="Aptos Narrow" w:hAnsi="Aptos Narrow"/>
                <w:color w:val="000000"/>
              </w:rPr>
              <w:t>o</w:t>
            </w:r>
            <w:r w:rsidRPr="00EE361A">
              <w:rPr>
                <w:rFonts w:ascii="Aptos Narrow" w:hAnsi="Aptos Narrow"/>
                <w:color w:val="000000"/>
              </w:rPr>
              <w:t xml:space="preserve">rganizations and </w:t>
            </w:r>
            <w:r w:rsidR="00E50B7B" w:rsidRPr="00EE361A">
              <w:rPr>
                <w:rFonts w:ascii="Aptos Narrow" w:hAnsi="Aptos Narrow"/>
                <w:color w:val="000000"/>
              </w:rPr>
              <w:t>G</w:t>
            </w:r>
            <w:r w:rsidRPr="00EE361A">
              <w:rPr>
                <w:rFonts w:ascii="Aptos Narrow" w:hAnsi="Aptos Narrow"/>
                <w:color w:val="000000"/>
              </w:rPr>
              <w:t>roups</w:t>
            </w:r>
          </w:p>
        </w:tc>
        <w:tc>
          <w:tcPr>
            <w:tcW w:w="1253" w:type="dxa"/>
            <w:tcBorders>
              <w:top w:val="nil"/>
              <w:left w:val="nil"/>
              <w:bottom w:val="nil"/>
              <w:right w:val="nil"/>
            </w:tcBorders>
            <w:noWrap/>
            <w:vAlign w:val="center"/>
            <w:hideMark/>
          </w:tcPr>
          <w:p w14:paraId="4CF9C713"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1.1%</w:t>
            </w:r>
          </w:p>
        </w:tc>
        <w:tc>
          <w:tcPr>
            <w:tcW w:w="1253" w:type="dxa"/>
            <w:tcBorders>
              <w:top w:val="nil"/>
              <w:left w:val="nil"/>
              <w:bottom w:val="nil"/>
              <w:right w:val="nil"/>
            </w:tcBorders>
            <w:noWrap/>
            <w:vAlign w:val="center"/>
            <w:hideMark/>
          </w:tcPr>
          <w:p w14:paraId="2556FEA4"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0.0%</w:t>
            </w:r>
          </w:p>
        </w:tc>
        <w:tc>
          <w:tcPr>
            <w:tcW w:w="1253" w:type="dxa"/>
            <w:tcBorders>
              <w:top w:val="nil"/>
              <w:left w:val="nil"/>
              <w:bottom w:val="nil"/>
              <w:right w:val="nil"/>
            </w:tcBorders>
            <w:noWrap/>
            <w:vAlign w:val="center"/>
            <w:hideMark/>
          </w:tcPr>
          <w:p w14:paraId="1573B225"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0.0%</w:t>
            </w:r>
          </w:p>
        </w:tc>
        <w:tc>
          <w:tcPr>
            <w:tcW w:w="1257" w:type="dxa"/>
            <w:tcBorders>
              <w:top w:val="nil"/>
              <w:left w:val="nil"/>
              <w:bottom w:val="nil"/>
              <w:right w:val="nil"/>
            </w:tcBorders>
            <w:noWrap/>
            <w:vAlign w:val="center"/>
            <w:hideMark/>
          </w:tcPr>
          <w:p w14:paraId="128603BF"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0.2%</w:t>
            </w:r>
          </w:p>
        </w:tc>
      </w:tr>
      <w:tr w:rsidR="0084529A" w:rsidRPr="00EE361A" w14:paraId="307F186A" w14:textId="77777777" w:rsidTr="006C0C76">
        <w:trPr>
          <w:trHeight w:val="541"/>
        </w:trPr>
        <w:tc>
          <w:tcPr>
            <w:tcW w:w="3666" w:type="dxa"/>
            <w:tcBorders>
              <w:top w:val="nil"/>
              <w:left w:val="nil"/>
              <w:bottom w:val="nil"/>
              <w:right w:val="nil"/>
            </w:tcBorders>
            <w:noWrap/>
            <w:vAlign w:val="center"/>
            <w:hideMark/>
          </w:tcPr>
          <w:p w14:paraId="52BB013E" w14:textId="1E55A70D" w:rsidR="0084529A" w:rsidRPr="00EE361A" w:rsidRDefault="0084529A" w:rsidP="006C0C76">
            <w:pPr>
              <w:rPr>
                <w:rFonts w:ascii="Aptos Narrow" w:hAnsi="Aptos Narrow"/>
                <w:color w:val="000000"/>
              </w:rPr>
            </w:pPr>
            <w:r w:rsidRPr="00EE361A">
              <w:rPr>
                <w:rFonts w:ascii="Aptos Narrow" w:hAnsi="Aptos Narrow"/>
                <w:color w:val="000000"/>
              </w:rPr>
              <w:t xml:space="preserve">Health </w:t>
            </w:r>
            <w:r w:rsidR="00E50B7B" w:rsidRPr="00EE361A">
              <w:rPr>
                <w:rFonts w:ascii="Aptos Narrow" w:hAnsi="Aptos Narrow"/>
                <w:color w:val="000000"/>
              </w:rPr>
              <w:t>R</w:t>
            </w:r>
            <w:r w:rsidRPr="00EE361A">
              <w:rPr>
                <w:rFonts w:ascii="Aptos Narrow" w:hAnsi="Aptos Narrow"/>
                <w:color w:val="000000"/>
              </w:rPr>
              <w:t xml:space="preserve">elated </w:t>
            </w:r>
            <w:r w:rsidR="00E50B7B" w:rsidRPr="00EE361A">
              <w:rPr>
                <w:rFonts w:ascii="Aptos Narrow" w:hAnsi="Aptos Narrow"/>
                <w:color w:val="000000"/>
              </w:rPr>
              <w:t>A</w:t>
            </w:r>
            <w:r w:rsidRPr="00EE361A">
              <w:rPr>
                <w:rFonts w:ascii="Aptos Narrow" w:hAnsi="Aptos Narrow"/>
                <w:color w:val="000000"/>
              </w:rPr>
              <w:t xml:space="preserve">ctors and </w:t>
            </w:r>
            <w:r w:rsidR="00E50B7B" w:rsidRPr="00EE361A">
              <w:rPr>
                <w:rFonts w:ascii="Aptos Narrow" w:hAnsi="Aptos Narrow"/>
                <w:color w:val="000000"/>
              </w:rPr>
              <w:t>G</w:t>
            </w:r>
            <w:r w:rsidRPr="00EE361A">
              <w:rPr>
                <w:rFonts w:ascii="Aptos Narrow" w:hAnsi="Aptos Narrow"/>
                <w:color w:val="000000"/>
              </w:rPr>
              <w:t>roups</w:t>
            </w:r>
          </w:p>
        </w:tc>
        <w:tc>
          <w:tcPr>
            <w:tcW w:w="1253" w:type="dxa"/>
            <w:tcBorders>
              <w:top w:val="nil"/>
              <w:left w:val="nil"/>
              <w:bottom w:val="nil"/>
              <w:right w:val="nil"/>
            </w:tcBorders>
            <w:noWrap/>
            <w:vAlign w:val="center"/>
            <w:hideMark/>
          </w:tcPr>
          <w:p w14:paraId="6B2B88C7"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5.0%</w:t>
            </w:r>
          </w:p>
        </w:tc>
        <w:tc>
          <w:tcPr>
            <w:tcW w:w="1253" w:type="dxa"/>
            <w:tcBorders>
              <w:top w:val="nil"/>
              <w:left w:val="nil"/>
              <w:bottom w:val="nil"/>
              <w:right w:val="nil"/>
            </w:tcBorders>
            <w:noWrap/>
            <w:vAlign w:val="center"/>
            <w:hideMark/>
          </w:tcPr>
          <w:p w14:paraId="002B31A8"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8.7%</w:t>
            </w:r>
          </w:p>
        </w:tc>
        <w:tc>
          <w:tcPr>
            <w:tcW w:w="1253" w:type="dxa"/>
            <w:tcBorders>
              <w:top w:val="nil"/>
              <w:left w:val="nil"/>
              <w:bottom w:val="nil"/>
              <w:right w:val="nil"/>
            </w:tcBorders>
            <w:noWrap/>
            <w:vAlign w:val="center"/>
            <w:hideMark/>
          </w:tcPr>
          <w:p w14:paraId="141CBB26"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3.8%</w:t>
            </w:r>
          </w:p>
        </w:tc>
        <w:tc>
          <w:tcPr>
            <w:tcW w:w="1257" w:type="dxa"/>
            <w:tcBorders>
              <w:top w:val="nil"/>
              <w:left w:val="nil"/>
              <w:bottom w:val="nil"/>
              <w:right w:val="nil"/>
            </w:tcBorders>
            <w:noWrap/>
            <w:vAlign w:val="center"/>
            <w:hideMark/>
          </w:tcPr>
          <w:p w14:paraId="2D444E5D"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6.6%</w:t>
            </w:r>
          </w:p>
        </w:tc>
      </w:tr>
      <w:tr w:rsidR="0084529A" w:rsidRPr="00EE361A" w14:paraId="2B9B70BB" w14:textId="77777777" w:rsidTr="006C0C76">
        <w:trPr>
          <w:trHeight w:val="541"/>
        </w:trPr>
        <w:tc>
          <w:tcPr>
            <w:tcW w:w="3666" w:type="dxa"/>
            <w:tcBorders>
              <w:top w:val="nil"/>
              <w:left w:val="nil"/>
              <w:bottom w:val="nil"/>
              <w:right w:val="nil"/>
            </w:tcBorders>
            <w:noWrap/>
            <w:vAlign w:val="bottom"/>
            <w:hideMark/>
          </w:tcPr>
          <w:p w14:paraId="16D86344" w14:textId="27BBB6E8" w:rsidR="0084529A" w:rsidRPr="00EE361A" w:rsidRDefault="0084529A" w:rsidP="006C0C76">
            <w:pPr>
              <w:rPr>
                <w:rFonts w:ascii="Aptos Narrow" w:hAnsi="Aptos Narrow"/>
                <w:color w:val="000000"/>
              </w:rPr>
            </w:pPr>
            <w:r w:rsidRPr="00EE361A">
              <w:rPr>
                <w:rFonts w:ascii="Aptos Narrow" w:hAnsi="Aptos Narrow"/>
                <w:color w:val="000000"/>
              </w:rPr>
              <w:t xml:space="preserve">Society and </w:t>
            </w:r>
            <w:r w:rsidR="00E50B7B" w:rsidRPr="00EE361A">
              <w:rPr>
                <w:rFonts w:ascii="Aptos Narrow" w:hAnsi="Aptos Narrow"/>
                <w:color w:val="000000"/>
              </w:rPr>
              <w:t>C</w:t>
            </w:r>
            <w:r w:rsidRPr="00EE361A">
              <w:rPr>
                <w:rFonts w:ascii="Aptos Narrow" w:hAnsi="Aptos Narrow"/>
                <w:color w:val="000000"/>
              </w:rPr>
              <w:t xml:space="preserve">ivil </w:t>
            </w:r>
            <w:r w:rsidR="00E50B7B" w:rsidRPr="00EE361A">
              <w:rPr>
                <w:rFonts w:ascii="Aptos Narrow" w:hAnsi="Aptos Narrow"/>
                <w:color w:val="000000"/>
              </w:rPr>
              <w:t>S</w:t>
            </w:r>
            <w:r w:rsidRPr="00EE361A">
              <w:rPr>
                <w:rFonts w:ascii="Aptos Narrow" w:hAnsi="Aptos Narrow"/>
                <w:color w:val="000000"/>
              </w:rPr>
              <w:t xml:space="preserve">ociety  </w:t>
            </w:r>
            <w:r w:rsidR="00E50B7B" w:rsidRPr="00EE361A">
              <w:rPr>
                <w:rFonts w:ascii="Aptos Narrow" w:hAnsi="Aptos Narrow"/>
                <w:color w:val="000000"/>
              </w:rPr>
              <w:t>A</w:t>
            </w:r>
            <w:r w:rsidRPr="00EE361A">
              <w:rPr>
                <w:rFonts w:ascii="Aptos Narrow" w:hAnsi="Aptos Narrow"/>
                <w:color w:val="000000"/>
              </w:rPr>
              <w:t>ctors</w:t>
            </w:r>
          </w:p>
        </w:tc>
        <w:tc>
          <w:tcPr>
            <w:tcW w:w="1253" w:type="dxa"/>
            <w:tcBorders>
              <w:top w:val="nil"/>
              <w:left w:val="nil"/>
              <w:bottom w:val="nil"/>
              <w:right w:val="nil"/>
            </w:tcBorders>
            <w:noWrap/>
            <w:vAlign w:val="center"/>
            <w:hideMark/>
          </w:tcPr>
          <w:p w14:paraId="0664E97E"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22.1%</w:t>
            </w:r>
          </w:p>
        </w:tc>
        <w:tc>
          <w:tcPr>
            <w:tcW w:w="1253" w:type="dxa"/>
            <w:tcBorders>
              <w:top w:val="nil"/>
              <w:left w:val="nil"/>
              <w:bottom w:val="nil"/>
              <w:right w:val="nil"/>
            </w:tcBorders>
            <w:noWrap/>
            <w:vAlign w:val="center"/>
            <w:hideMark/>
          </w:tcPr>
          <w:p w14:paraId="685E4CAE"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29.7%</w:t>
            </w:r>
          </w:p>
        </w:tc>
        <w:tc>
          <w:tcPr>
            <w:tcW w:w="1253" w:type="dxa"/>
            <w:tcBorders>
              <w:top w:val="nil"/>
              <w:left w:val="nil"/>
              <w:bottom w:val="nil"/>
              <w:right w:val="nil"/>
            </w:tcBorders>
            <w:noWrap/>
            <w:vAlign w:val="center"/>
            <w:hideMark/>
          </w:tcPr>
          <w:p w14:paraId="04B09B1D"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38.0%</w:t>
            </w:r>
          </w:p>
        </w:tc>
        <w:tc>
          <w:tcPr>
            <w:tcW w:w="1257" w:type="dxa"/>
            <w:tcBorders>
              <w:top w:val="nil"/>
              <w:left w:val="nil"/>
              <w:bottom w:val="nil"/>
              <w:right w:val="nil"/>
            </w:tcBorders>
            <w:noWrap/>
            <w:vAlign w:val="center"/>
            <w:hideMark/>
          </w:tcPr>
          <w:p w14:paraId="063B4A3B"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30.3%</w:t>
            </w:r>
          </w:p>
        </w:tc>
      </w:tr>
      <w:tr w:rsidR="0084529A" w:rsidRPr="00EE361A" w14:paraId="7CAD42F3" w14:textId="77777777" w:rsidTr="006C0C76">
        <w:trPr>
          <w:trHeight w:val="541"/>
        </w:trPr>
        <w:tc>
          <w:tcPr>
            <w:tcW w:w="3666" w:type="dxa"/>
            <w:tcBorders>
              <w:top w:val="nil"/>
              <w:left w:val="nil"/>
              <w:bottom w:val="nil"/>
              <w:right w:val="nil"/>
            </w:tcBorders>
            <w:noWrap/>
            <w:vAlign w:val="center"/>
            <w:hideMark/>
          </w:tcPr>
          <w:p w14:paraId="054091BA" w14:textId="57C0E140" w:rsidR="0084529A" w:rsidRPr="00EE361A" w:rsidRDefault="0084529A" w:rsidP="006C0C76">
            <w:pPr>
              <w:rPr>
                <w:rFonts w:ascii="Aptos Narrow" w:hAnsi="Aptos Narrow"/>
                <w:color w:val="000000"/>
              </w:rPr>
            </w:pPr>
            <w:r w:rsidRPr="00EE361A">
              <w:rPr>
                <w:rFonts w:ascii="Aptos Narrow" w:hAnsi="Aptos Narrow"/>
                <w:color w:val="000000"/>
              </w:rPr>
              <w:t xml:space="preserve">Education – Science </w:t>
            </w:r>
            <w:r w:rsidR="00E50B7B" w:rsidRPr="00EE361A">
              <w:rPr>
                <w:rFonts w:ascii="Aptos Narrow" w:hAnsi="Aptos Narrow"/>
                <w:color w:val="000000"/>
              </w:rPr>
              <w:t>R</w:t>
            </w:r>
            <w:r w:rsidRPr="00EE361A">
              <w:rPr>
                <w:rFonts w:ascii="Aptos Narrow" w:hAnsi="Aptos Narrow"/>
                <w:color w:val="000000"/>
              </w:rPr>
              <w:t xml:space="preserve">elated </w:t>
            </w:r>
            <w:r w:rsidR="00E50B7B" w:rsidRPr="00EE361A">
              <w:rPr>
                <w:rFonts w:ascii="Aptos Narrow" w:hAnsi="Aptos Narrow"/>
                <w:color w:val="000000"/>
              </w:rPr>
              <w:t>A</w:t>
            </w:r>
            <w:r w:rsidRPr="00EE361A">
              <w:rPr>
                <w:rFonts w:ascii="Aptos Narrow" w:hAnsi="Aptos Narrow"/>
                <w:color w:val="000000"/>
              </w:rPr>
              <w:t>ctors</w:t>
            </w:r>
          </w:p>
        </w:tc>
        <w:tc>
          <w:tcPr>
            <w:tcW w:w="1253" w:type="dxa"/>
            <w:tcBorders>
              <w:top w:val="nil"/>
              <w:left w:val="nil"/>
              <w:bottom w:val="nil"/>
              <w:right w:val="nil"/>
            </w:tcBorders>
            <w:noWrap/>
            <w:vAlign w:val="center"/>
            <w:hideMark/>
          </w:tcPr>
          <w:p w14:paraId="19232D3E"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1.7%</w:t>
            </w:r>
          </w:p>
        </w:tc>
        <w:tc>
          <w:tcPr>
            <w:tcW w:w="1253" w:type="dxa"/>
            <w:tcBorders>
              <w:top w:val="nil"/>
              <w:left w:val="nil"/>
              <w:bottom w:val="nil"/>
              <w:right w:val="nil"/>
            </w:tcBorders>
            <w:noWrap/>
            <w:vAlign w:val="center"/>
            <w:hideMark/>
          </w:tcPr>
          <w:p w14:paraId="758B5E7D"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0.2%</w:t>
            </w:r>
          </w:p>
        </w:tc>
        <w:tc>
          <w:tcPr>
            <w:tcW w:w="1253" w:type="dxa"/>
            <w:tcBorders>
              <w:top w:val="nil"/>
              <w:left w:val="nil"/>
              <w:bottom w:val="nil"/>
              <w:right w:val="nil"/>
            </w:tcBorders>
            <w:noWrap/>
            <w:vAlign w:val="center"/>
            <w:hideMark/>
          </w:tcPr>
          <w:p w14:paraId="7EB4DFBC"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1.6%</w:t>
            </w:r>
          </w:p>
        </w:tc>
        <w:tc>
          <w:tcPr>
            <w:tcW w:w="1257" w:type="dxa"/>
            <w:tcBorders>
              <w:top w:val="nil"/>
              <w:left w:val="nil"/>
              <w:bottom w:val="nil"/>
              <w:right w:val="nil"/>
            </w:tcBorders>
            <w:noWrap/>
            <w:vAlign w:val="center"/>
            <w:hideMark/>
          </w:tcPr>
          <w:p w14:paraId="7BF838F0"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0.9%</w:t>
            </w:r>
          </w:p>
        </w:tc>
      </w:tr>
      <w:tr w:rsidR="0084529A" w:rsidRPr="00EE361A" w14:paraId="17C789A6" w14:textId="77777777" w:rsidTr="006C0C76">
        <w:trPr>
          <w:trHeight w:val="541"/>
        </w:trPr>
        <w:tc>
          <w:tcPr>
            <w:tcW w:w="3666" w:type="dxa"/>
            <w:tcBorders>
              <w:top w:val="nil"/>
              <w:left w:val="nil"/>
              <w:bottom w:val="nil"/>
              <w:right w:val="nil"/>
            </w:tcBorders>
            <w:noWrap/>
            <w:vAlign w:val="center"/>
            <w:hideMark/>
          </w:tcPr>
          <w:p w14:paraId="1DEE568C" w14:textId="4CBF2D29" w:rsidR="0084529A" w:rsidRPr="00EE361A" w:rsidRDefault="0084529A" w:rsidP="006C0C76">
            <w:pPr>
              <w:rPr>
                <w:rFonts w:ascii="Aptos Narrow" w:hAnsi="Aptos Narrow"/>
                <w:color w:val="000000"/>
              </w:rPr>
            </w:pPr>
            <w:r w:rsidRPr="00EE361A">
              <w:rPr>
                <w:rFonts w:ascii="Aptos Narrow" w:hAnsi="Aptos Narrow"/>
                <w:color w:val="000000"/>
              </w:rPr>
              <w:t xml:space="preserve">Supranational </w:t>
            </w:r>
            <w:r w:rsidR="00E50B7B" w:rsidRPr="00EE361A">
              <w:rPr>
                <w:rFonts w:ascii="Aptos Narrow" w:hAnsi="Aptos Narrow"/>
                <w:color w:val="000000"/>
              </w:rPr>
              <w:t>A</w:t>
            </w:r>
            <w:r w:rsidRPr="00EE361A">
              <w:rPr>
                <w:rFonts w:ascii="Aptos Narrow" w:hAnsi="Aptos Narrow"/>
                <w:color w:val="000000"/>
              </w:rPr>
              <w:t>ctors</w:t>
            </w:r>
          </w:p>
        </w:tc>
        <w:tc>
          <w:tcPr>
            <w:tcW w:w="1253" w:type="dxa"/>
            <w:tcBorders>
              <w:top w:val="nil"/>
              <w:left w:val="nil"/>
              <w:bottom w:val="nil"/>
              <w:right w:val="nil"/>
            </w:tcBorders>
            <w:noWrap/>
            <w:vAlign w:val="center"/>
            <w:hideMark/>
          </w:tcPr>
          <w:p w14:paraId="5B7AEC7C"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8.4%</w:t>
            </w:r>
          </w:p>
        </w:tc>
        <w:tc>
          <w:tcPr>
            <w:tcW w:w="1253" w:type="dxa"/>
            <w:tcBorders>
              <w:top w:val="nil"/>
              <w:left w:val="nil"/>
              <w:bottom w:val="nil"/>
              <w:right w:val="nil"/>
            </w:tcBorders>
            <w:noWrap/>
            <w:vAlign w:val="center"/>
            <w:hideMark/>
          </w:tcPr>
          <w:p w14:paraId="15CF30A9"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0.1%</w:t>
            </w:r>
          </w:p>
        </w:tc>
        <w:tc>
          <w:tcPr>
            <w:tcW w:w="1253" w:type="dxa"/>
            <w:tcBorders>
              <w:top w:val="nil"/>
              <w:left w:val="nil"/>
              <w:bottom w:val="nil"/>
              <w:right w:val="nil"/>
            </w:tcBorders>
            <w:noWrap/>
            <w:vAlign w:val="center"/>
            <w:hideMark/>
          </w:tcPr>
          <w:p w14:paraId="488A6E2E"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0.7%</w:t>
            </w:r>
          </w:p>
        </w:tc>
        <w:tc>
          <w:tcPr>
            <w:tcW w:w="1257" w:type="dxa"/>
            <w:tcBorders>
              <w:top w:val="nil"/>
              <w:left w:val="nil"/>
              <w:bottom w:val="nil"/>
              <w:right w:val="nil"/>
            </w:tcBorders>
            <w:noWrap/>
            <w:vAlign w:val="center"/>
            <w:hideMark/>
          </w:tcPr>
          <w:p w14:paraId="01B1A9B1" w14:textId="77777777" w:rsidR="0084529A" w:rsidRPr="00EE361A" w:rsidRDefault="0084529A" w:rsidP="006C0C76">
            <w:pPr>
              <w:jc w:val="center"/>
              <w:rPr>
                <w:rFonts w:ascii="Aptos Narrow" w:hAnsi="Aptos Narrow"/>
                <w:color w:val="000000"/>
              </w:rPr>
            </w:pPr>
            <w:r w:rsidRPr="00EE361A">
              <w:rPr>
                <w:rFonts w:ascii="Aptos Narrow" w:hAnsi="Aptos Narrow"/>
                <w:color w:val="000000"/>
              </w:rPr>
              <w:t>2.0%</w:t>
            </w:r>
          </w:p>
        </w:tc>
      </w:tr>
      <w:tr w:rsidR="0084529A" w:rsidRPr="00EE361A" w14:paraId="1EBCD468" w14:textId="77777777" w:rsidTr="006C0C76">
        <w:trPr>
          <w:trHeight w:val="541"/>
        </w:trPr>
        <w:tc>
          <w:tcPr>
            <w:tcW w:w="3666" w:type="dxa"/>
            <w:tcBorders>
              <w:top w:val="single" w:sz="4" w:space="0" w:color="auto"/>
              <w:left w:val="nil"/>
              <w:bottom w:val="single" w:sz="4" w:space="0" w:color="auto"/>
              <w:right w:val="nil"/>
            </w:tcBorders>
            <w:noWrap/>
            <w:vAlign w:val="center"/>
            <w:hideMark/>
          </w:tcPr>
          <w:p w14:paraId="5CF86E70"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N</w:t>
            </w:r>
          </w:p>
        </w:tc>
        <w:tc>
          <w:tcPr>
            <w:tcW w:w="1253" w:type="dxa"/>
            <w:tcBorders>
              <w:top w:val="single" w:sz="4" w:space="0" w:color="auto"/>
              <w:left w:val="nil"/>
              <w:bottom w:val="single" w:sz="4" w:space="0" w:color="auto"/>
              <w:right w:val="nil"/>
            </w:tcBorders>
            <w:noWrap/>
            <w:vAlign w:val="center"/>
            <w:hideMark/>
          </w:tcPr>
          <w:p w14:paraId="41B193F5"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358</w:t>
            </w:r>
          </w:p>
        </w:tc>
        <w:tc>
          <w:tcPr>
            <w:tcW w:w="1253" w:type="dxa"/>
            <w:tcBorders>
              <w:top w:val="single" w:sz="4" w:space="0" w:color="auto"/>
              <w:left w:val="nil"/>
              <w:bottom w:val="single" w:sz="4" w:space="0" w:color="auto"/>
              <w:right w:val="nil"/>
            </w:tcBorders>
            <w:noWrap/>
            <w:vAlign w:val="center"/>
            <w:hideMark/>
          </w:tcPr>
          <w:p w14:paraId="5485EC9A"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859</w:t>
            </w:r>
          </w:p>
        </w:tc>
        <w:tc>
          <w:tcPr>
            <w:tcW w:w="1253" w:type="dxa"/>
            <w:tcBorders>
              <w:top w:val="single" w:sz="4" w:space="0" w:color="auto"/>
              <w:left w:val="nil"/>
              <w:bottom w:val="single" w:sz="4" w:space="0" w:color="auto"/>
              <w:right w:val="nil"/>
            </w:tcBorders>
            <w:noWrap/>
            <w:vAlign w:val="center"/>
            <w:hideMark/>
          </w:tcPr>
          <w:p w14:paraId="30D2BE8A"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445</w:t>
            </w:r>
          </w:p>
        </w:tc>
        <w:tc>
          <w:tcPr>
            <w:tcW w:w="1257" w:type="dxa"/>
            <w:tcBorders>
              <w:top w:val="single" w:sz="4" w:space="0" w:color="auto"/>
              <w:left w:val="nil"/>
              <w:bottom w:val="single" w:sz="4" w:space="0" w:color="auto"/>
              <w:right w:val="nil"/>
            </w:tcBorders>
            <w:noWrap/>
            <w:vAlign w:val="center"/>
            <w:hideMark/>
          </w:tcPr>
          <w:p w14:paraId="1FE491DF" w14:textId="77777777" w:rsidR="0084529A" w:rsidRPr="00EE361A" w:rsidRDefault="0084529A" w:rsidP="006C0C76">
            <w:pPr>
              <w:jc w:val="center"/>
              <w:rPr>
                <w:rFonts w:ascii="Aptos Narrow" w:hAnsi="Aptos Narrow"/>
                <w:b/>
                <w:bCs/>
                <w:color w:val="000000"/>
              </w:rPr>
            </w:pPr>
            <w:r w:rsidRPr="00EE361A">
              <w:rPr>
                <w:rFonts w:ascii="Aptos Narrow" w:hAnsi="Aptos Narrow"/>
                <w:b/>
                <w:bCs/>
                <w:color w:val="000000"/>
              </w:rPr>
              <w:t>1,662</w:t>
            </w:r>
          </w:p>
        </w:tc>
      </w:tr>
    </w:tbl>
    <w:p w14:paraId="6049D401" w14:textId="2B580CCF" w:rsidR="0084529A" w:rsidRPr="00EE361A" w:rsidRDefault="0084529A" w:rsidP="003D4112">
      <w:pPr>
        <w:pStyle w:val="NormaleWeb"/>
        <w:rPr>
          <w:color w:val="000000"/>
        </w:rPr>
      </w:pPr>
    </w:p>
    <w:p w14:paraId="2939D7A9" w14:textId="596E009C" w:rsidR="0084529A" w:rsidRPr="00EE361A" w:rsidRDefault="0084529A" w:rsidP="0084529A">
      <w:pPr>
        <w:jc w:val="both"/>
        <w:rPr>
          <w:rFonts w:asciiTheme="minorHAnsi" w:hAnsiTheme="minorHAnsi" w:cstheme="minorHAnsi"/>
        </w:rPr>
      </w:pPr>
      <w:r w:rsidRPr="00EE361A">
        <w:rPr>
          <w:rFonts w:asciiTheme="minorHAnsi" w:hAnsiTheme="minorHAnsi" w:cstheme="minorHAnsi"/>
        </w:rPr>
        <w:lastRenderedPageBreak/>
        <w:t>Table 5 compares the main issue categories</w:t>
      </w:r>
      <w:r w:rsidRPr="00EE361A">
        <w:rPr>
          <w:rStyle w:val="Rimandonotaapidipagina"/>
          <w:rFonts w:asciiTheme="minorHAnsi" w:hAnsiTheme="minorHAnsi" w:cstheme="minorHAnsi"/>
        </w:rPr>
        <w:footnoteReference w:id="15"/>
      </w:r>
      <w:r w:rsidRPr="00EE361A">
        <w:rPr>
          <w:rFonts w:asciiTheme="minorHAnsi" w:hAnsiTheme="minorHAnsi" w:cstheme="minorHAnsi"/>
        </w:rPr>
        <w:t xml:space="preserve"> discussed in online </w:t>
      </w:r>
      <w:r w:rsidR="00A21CAB" w:rsidRPr="00EE361A">
        <w:rPr>
          <w:rFonts w:asciiTheme="minorHAnsi" w:hAnsiTheme="minorHAnsi" w:cstheme="minorHAnsi"/>
        </w:rPr>
        <w:t xml:space="preserve">news </w:t>
      </w:r>
      <w:r w:rsidRPr="00EE361A">
        <w:rPr>
          <w:rFonts w:asciiTheme="minorHAnsi" w:hAnsiTheme="minorHAnsi" w:cstheme="minorHAnsi"/>
        </w:rPr>
        <w:t>media and Facebook comments, classified according to the POCO-COVID coding scheme.</w:t>
      </w:r>
      <w:r w:rsidR="00D640CC" w:rsidRPr="00EE361A">
        <w:rPr>
          <w:rFonts w:asciiTheme="minorHAnsi" w:hAnsiTheme="minorHAnsi" w:cstheme="minorHAnsi"/>
        </w:rPr>
        <w:t xml:space="preserve"> </w:t>
      </w:r>
      <w:r w:rsidRPr="00EE361A">
        <w:rPr>
          <w:rFonts w:asciiTheme="minorHAnsi" w:hAnsiTheme="minorHAnsi" w:cstheme="minorHAnsi"/>
        </w:rPr>
        <w:t xml:space="preserve">In online </w:t>
      </w:r>
      <w:r w:rsidR="009D26CC" w:rsidRPr="00EE361A">
        <w:rPr>
          <w:rFonts w:asciiTheme="minorHAnsi" w:hAnsiTheme="minorHAnsi" w:cstheme="minorHAnsi"/>
        </w:rPr>
        <w:t xml:space="preserve">news </w:t>
      </w:r>
      <w:r w:rsidRPr="00EE361A">
        <w:rPr>
          <w:rFonts w:asciiTheme="minorHAnsi" w:hAnsiTheme="minorHAnsi" w:cstheme="minorHAnsi"/>
        </w:rPr>
        <w:t xml:space="preserve">media, public discourse concentrated on political management of the pandemic (37 per cent) and health management (31 per cent), followed by individual behaviour (11 per cent), direct health issues (10 per cent), and economic effects (5 per cent). At the level of specific issues, vaccination (11 per cent), lockdowns (5 per cent), and individual responsibility (5 per cent) dominated, indicating that </w:t>
      </w:r>
      <w:r w:rsidR="00F53063" w:rsidRPr="00EE361A">
        <w:rPr>
          <w:rFonts w:asciiTheme="minorHAnsi" w:hAnsiTheme="minorHAnsi" w:cstheme="minorHAnsi"/>
        </w:rPr>
        <w:t xml:space="preserve">the online news </w:t>
      </w:r>
      <w:r w:rsidRPr="00EE361A">
        <w:rPr>
          <w:rFonts w:asciiTheme="minorHAnsi" w:hAnsiTheme="minorHAnsi" w:cstheme="minorHAnsi"/>
        </w:rPr>
        <w:t xml:space="preserve">media </w:t>
      </w:r>
      <w:r w:rsidR="003D4112" w:rsidRPr="00EE361A">
        <w:rPr>
          <w:rFonts w:asciiTheme="minorHAnsi" w:hAnsiTheme="minorHAnsi" w:cstheme="minorHAnsi"/>
        </w:rPr>
        <w:t xml:space="preserve">reporting </w:t>
      </w:r>
      <w:r w:rsidRPr="00EE361A">
        <w:rPr>
          <w:rFonts w:asciiTheme="minorHAnsi" w:hAnsiTheme="minorHAnsi" w:cstheme="minorHAnsi"/>
        </w:rPr>
        <w:t>largely followed the institutional policy agenda.</w:t>
      </w:r>
    </w:p>
    <w:p w14:paraId="2B133D98" w14:textId="77777777" w:rsidR="0084529A" w:rsidRPr="00EE361A" w:rsidRDefault="0084529A" w:rsidP="0084529A">
      <w:pPr>
        <w:jc w:val="both"/>
        <w:rPr>
          <w:rFonts w:asciiTheme="minorHAnsi" w:hAnsiTheme="minorHAnsi" w:cstheme="minorHAnsi"/>
        </w:rPr>
      </w:pPr>
    </w:p>
    <w:p w14:paraId="1C2EC9D6" w14:textId="25660CFD"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In contrast, Facebook comments displayed a markedly different issue </w:t>
      </w:r>
      <w:r w:rsidR="003D4112" w:rsidRPr="00EE361A">
        <w:rPr>
          <w:rFonts w:asciiTheme="minorHAnsi" w:hAnsiTheme="minorHAnsi" w:cstheme="minorHAnsi"/>
        </w:rPr>
        <w:t>configuration</w:t>
      </w:r>
      <w:r w:rsidRPr="00EE361A">
        <w:rPr>
          <w:rFonts w:asciiTheme="minorHAnsi" w:hAnsiTheme="minorHAnsi" w:cstheme="minorHAnsi"/>
        </w:rPr>
        <w:t xml:space="preserve">. The leading category was denial and conspiracy narratives (25 per cent), followed by political management (18 per cent), unfocused or diffuse topics (16 per cent), health management (13 per cent), and direct health issues (12 per cent). These figures show that users not only responded to the news agenda but </w:t>
      </w:r>
      <w:r w:rsidR="003D4229" w:rsidRPr="00EE361A">
        <w:rPr>
          <w:rFonts w:asciiTheme="minorHAnsi" w:hAnsiTheme="minorHAnsi" w:cstheme="minorHAnsi"/>
        </w:rPr>
        <w:t>actively introduced alternative and often oppositional issues</w:t>
      </w:r>
      <w:r w:rsidRPr="00EE361A">
        <w:rPr>
          <w:rFonts w:asciiTheme="minorHAnsi" w:hAnsiTheme="minorHAnsi" w:cstheme="minorHAnsi"/>
        </w:rPr>
        <w:t>. The prominence of conspiracy-related and diffuse discussions highlights the fragmentation of public discourse on social media. Commenters acted as independent agents, frequently questioning mainstream narratives and mistrusting institutional communication..</w:t>
      </w:r>
    </w:p>
    <w:p w14:paraId="4A01D382" w14:textId="77777777" w:rsidR="0084529A" w:rsidRPr="00EE361A" w:rsidRDefault="0084529A" w:rsidP="0084529A">
      <w:pPr>
        <w:jc w:val="both"/>
        <w:rPr>
          <w:rFonts w:asciiTheme="minorHAnsi" w:hAnsiTheme="minorHAnsi" w:cstheme="minorHAnsi"/>
        </w:rPr>
      </w:pPr>
    </w:p>
    <w:p w14:paraId="431C07FB" w14:textId="77777777" w:rsidR="0084529A" w:rsidRPr="00EE361A" w:rsidRDefault="0084529A" w:rsidP="0084529A">
      <w:pPr>
        <w:jc w:val="both"/>
        <w:rPr>
          <w:rFonts w:asciiTheme="minorHAnsi" w:hAnsiTheme="minorHAnsi" w:cstheme="minorHAnsi"/>
        </w:rPr>
      </w:pPr>
    </w:p>
    <w:p w14:paraId="256AF549" w14:textId="6B6CA643" w:rsidR="0084529A" w:rsidRPr="00EE361A" w:rsidRDefault="0084529A" w:rsidP="0084529A">
      <w:pPr>
        <w:jc w:val="both"/>
        <w:rPr>
          <w:rFonts w:asciiTheme="minorHAnsi" w:eastAsiaTheme="minorHAnsi" w:hAnsiTheme="minorHAnsi" w:cstheme="minorHAnsi"/>
          <w:i/>
          <w:iCs/>
          <w:color w:val="0E2841" w:themeColor="text2"/>
          <w:sz w:val="18"/>
          <w:szCs w:val="18"/>
          <w:lang w:eastAsia="en-US"/>
        </w:rPr>
      </w:pPr>
      <w:r w:rsidRPr="00EE361A">
        <w:rPr>
          <w:rFonts w:asciiTheme="minorHAnsi" w:eastAsiaTheme="minorHAnsi" w:hAnsiTheme="minorHAnsi" w:cstheme="minorHAnsi"/>
          <w:i/>
          <w:iCs/>
          <w:color w:val="0E2841" w:themeColor="text2"/>
          <w:sz w:val="18"/>
          <w:szCs w:val="18"/>
          <w:lang w:eastAsia="en-US"/>
        </w:rPr>
        <w:t xml:space="preserve">Table 5 Top issues raised in </w:t>
      </w:r>
      <w:r w:rsidR="003C77CA" w:rsidRPr="00EE361A">
        <w:rPr>
          <w:rFonts w:asciiTheme="minorHAnsi" w:eastAsiaTheme="minorHAnsi" w:hAnsiTheme="minorHAnsi" w:cstheme="minorHAnsi"/>
          <w:i/>
          <w:iCs/>
          <w:color w:val="0E2841" w:themeColor="text2"/>
          <w:sz w:val="18"/>
          <w:szCs w:val="18"/>
          <w:lang w:eastAsia="en-US"/>
        </w:rPr>
        <w:t xml:space="preserve">News </w:t>
      </w:r>
      <w:r w:rsidRPr="00EE361A">
        <w:rPr>
          <w:rFonts w:asciiTheme="minorHAnsi" w:eastAsiaTheme="minorHAnsi" w:hAnsiTheme="minorHAnsi" w:cstheme="minorHAnsi"/>
          <w:i/>
          <w:iCs/>
          <w:color w:val="0E2841" w:themeColor="text2"/>
          <w:sz w:val="18"/>
          <w:szCs w:val="18"/>
          <w:lang w:eastAsia="en-US"/>
        </w:rPr>
        <w:t>and Social Media</w:t>
      </w:r>
    </w:p>
    <w:p w14:paraId="1350C7D7" w14:textId="77777777" w:rsidR="0084529A" w:rsidRPr="00EE361A" w:rsidRDefault="0084529A" w:rsidP="0084529A">
      <w:pPr>
        <w:jc w:val="both"/>
        <w:rPr>
          <w:rFonts w:asciiTheme="minorHAnsi" w:eastAsiaTheme="minorHAnsi" w:hAnsiTheme="minorHAnsi" w:cstheme="minorHAnsi"/>
          <w:i/>
          <w:iCs/>
          <w:color w:val="0E2841" w:themeColor="text2"/>
          <w:sz w:val="18"/>
          <w:szCs w:val="18"/>
          <w:lang w:eastAsia="en-US"/>
        </w:rPr>
      </w:pPr>
    </w:p>
    <w:tbl>
      <w:tblPr>
        <w:tblW w:w="8235" w:type="dxa"/>
        <w:jc w:val="center"/>
        <w:tblLook w:val="04A0" w:firstRow="1" w:lastRow="0" w:firstColumn="1" w:lastColumn="0" w:noHBand="0" w:noVBand="1"/>
      </w:tblPr>
      <w:tblGrid>
        <w:gridCol w:w="2817"/>
        <w:gridCol w:w="995"/>
        <w:gridCol w:w="3429"/>
        <w:gridCol w:w="994"/>
      </w:tblGrid>
      <w:tr w:rsidR="0084529A" w:rsidRPr="00EE361A" w14:paraId="5E446071" w14:textId="77777777" w:rsidTr="006C0C76">
        <w:trPr>
          <w:trHeight w:val="334"/>
          <w:jc w:val="center"/>
        </w:trPr>
        <w:tc>
          <w:tcPr>
            <w:tcW w:w="2817" w:type="dxa"/>
            <w:tcBorders>
              <w:top w:val="single" w:sz="8" w:space="0" w:color="auto"/>
              <w:left w:val="nil"/>
              <w:bottom w:val="single" w:sz="8" w:space="0" w:color="auto"/>
              <w:right w:val="nil"/>
            </w:tcBorders>
            <w:noWrap/>
            <w:vAlign w:val="center"/>
            <w:hideMark/>
          </w:tcPr>
          <w:p w14:paraId="1D0F402D" w14:textId="3B4C3AB1" w:rsidR="0084529A" w:rsidRPr="00EE361A" w:rsidRDefault="0084529A" w:rsidP="006C0C76">
            <w:pPr>
              <w:jc w:val="both"/>
              <w:rPr>
                <w:rFonts w:ascii="Calibri" w:hAnsi="Calibri" w:cs="Calibri"/>
                <w:b/>
                <w:bCs/>
                <w:color w:val="000000"/>
                <w:sz w:val="20"/>
                <w:szCs w:val="20"/>
              </w:rPr>
            </w:pPr>
            <w:r w:rsidRPr="00EE361A">
              <w:rPr>
                <w:rFonts w:ascii="Calibri" w:hAnsi="Calibri" w:cs="Calibri"/>
                <w:b/>
                <w:bCs/>
                <w:color w:val="000000"/>
                <w:sz w:val="20"/>
                <w:szCs w:val="20"/>
              </w:rPr>
              <w:t xml:space="preserve">Top 5 </w:t>
            </w:r>
            <w:r w:rsidR="00AD70A6" w:rsidRPr="00EE361A">
              <w:rPr>
                <w:rFonts w:ascii="Calibri" w:hAnsi="Calibri" w:cs="Calibri"/>
                <w:b/>
                <w:bCs/>
                <w:color w:val="000000"/>
                <w:sz w:val="20"/>
                <w:szCs w:val="20"/>
              </w:rPr>
              <w:t xml:space="preserve">Online News </w:t>
            </w:r>
            <w:r w:rsidRPr="00EE361A">
              <w:rPr>
                <w:rFonts w:ascii="Calibri" w:hAnsi="Calibri" w:cs="Calibri"/>
                <w:b/>
                <w:bCs/>
                <w:color w:val="000000"/>
                <w:sz w:val="20"/>
                <w:szCs w:val="20"/>
              </w:rPr>
              <w:t>Claims</w:t>
            </w:r>
            <w:r w:rsidR="00AD70A6" w:rsidRPr="00EE361A">
              <w:rPr>
                <w:rFonts w:ascii="Calibri" w:hAnsi="Calibri" w:cs="Calibri"/>
                <w:b/>
                <w:bCs/>
                <w:color w:val="000000"/>
                <w:sz w:val="20"/>
                <w:szCs w:val="20"/>
              </w:rPr>
              <w:t>,</w:t>
            </w:r>
            <w:r w:rsidRPr="00EE361A">
              <w:rPr>
                <w:rFonts w:ascii="Calibri" w:hAnsi="Calibri" w:cs="Calibri"/>
                <w:b/>
                <w:bCs/>
                <w:color w:val="000000"/>
                <w:sz w:val="20"/>
                <w:szCs w:val="20"/>
              </w:rPr>
              <w:t xml:space="preserve"> Issue Categories</w:t>
            </w:r>
          </w:p>
        </w:tc>
        <w:tc>
          <w:tcPr>
            <w:tcW w:w="994" w:type="dxa"/>
            <w:tcBorders>
              <w:top w:val="single" w:sz="8" w:space="0" w:color="auto"/>
              <w:left w:val="nil"/>
              <w:bottom w:val="single" w:sz="8" w:space="0" w:color="auto"/>
              <w:right w:val="single" w:sz="8" w:space="0" w:color="auto"/>
            </w:tcBorders>
            <w:noWrap/>
            <w:vAlign w:val="center"/>
            <w:hideMark/>
          </w:tcPr>
          <w:p w14:paraId="6D1DB33F"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 </w:t>
            </w:r>
          </w:p>
        </w:tc>
        <w:tc>
          <w:tcPr>
            <w:tcW w:w="3429" w:type="dxa"/>
            <w:tcBorders>
              <w:top w:val="single" w:sz="8" w:space="0" w:color="auto"/>
              <w:left w:val="nil"/>
              <w:bottom w:val="single" w:sz="8" w:space="0" w:color="auto"/>
              <w:right w:val="nil"/>
            </w:tcBorders>
            <w:noWrap/>
            <w:vAlign w:val="center"/>
            <w:hideMark/>
          </w:tcPr>
          <w:p w14:paraId="27725ADE" w14:textId="4E9BE9CE" w:rsidR="0084529A" w:rsidRPr="00EE361A" w:rsidRDefault="0084529A" w:rsidP="006C0C76">
            <w:pPr>
              <w:jc w:val="both"/>
              <w:rPr>
                <w:rFonts w:ascii="Calibri" w:hAnsi="Calibri" w:cs="Calibri"/>
                <w:b/>
                <w:bCs/>
                <w:color w:val="000000"/>
                <w:sz w:val="20"/>
                <w:szCs w:val="20"/>
              </w:rPr>
            </w:pPr>
            <w:r w:rsidRPr="00EE361A">
              <w:rPr>
                <w:rFonts w:ascii="Calibri" w:hAnsi="Calibri" w:cs="Calibri"/>
                <w:b/>
                <w:bCs/>
                <w:color w:val="000000"/>
                <w:sz w:val="20"/>
                <w:szCs w:val="20"/>
              </w:rPr>
              <w:t>Top 5 F</w:t>
            </w:r>
            <w:r w:rsidR="00B8674A" w:rsidRPr="00EE361A">
              <w:rPr>
                <w:rFonts w:ascii="Calibri" w:hAnsi="Calibri" w:cs="Calibri"/>
                <w:b/>
                <w:bCs/>
                <w:color w:val="000000"/>
                <w:sz w:val="20"/>
                <w:szCs w:val="20"/>
              </w:rPr>
              <w:t>acebook</w:t>
            </w:r>
            <w:r w:rsidRPr="00EE361A">
              <w:rPr>
                <w:rFonts w:ascii="Calibri" w:hAnsi="Calibri" w:cs="Calibri"/>
                <w:b/>
                <w:bCs/>
                <w:color w:val="000000"/>
                <w:sz w:val="20"/>
                <w:szCs w:val="20"/>
              </w:rPr>
              <w:t xml:space="preserve"> Comments</w:t>
            </w:r>
            <w:r w:rsidR="00AD70A6" w:rsidRPr="00EE361A">
              <w:rPr>
                <w:rFonts w:ascii="Calibri" w:hAnsi="Calibri" w:cs="Calibri"/>
                <w:b/>
                <w:bCs/>
                <w:color w:val="000000"/>
                <w:sz w:val="20"/>
                <w:szCs w:val="20"/>
              </w:rPr>
              <w:t>,</w:t>
            </w:r>
            <w:r w:rsidRPr="00EE361A">
              <w:rPr>
                <w:rFonts w:ascii="Calibri" w:hAnsi="Calibri" w:cs="Calibri"/>
                <w:b/>
                <w:bCs/>
                <w:color w:val="000000"/>
                <w:sz w:val="20"/>
                <w:szCs w:val="20"/>
              </w:rPr>
              <w:t xml:space="preserve"> </w:t>
            </w:r>
            <w:r w:rsidR="00B8674A" w:rsidRPr="00EE361A">
              <w:rPr>
                <w:rFonts w:ascii="Calibri" w:hAnsi="Calibri" w:cs="Calibri"/>
                <w:b/>
                <w:bCs/>
                <w:color w:val="000000"/>
                <w:sz w:val="20"/>
                <w:szCs w:val="20"/>
              </w:rPr>
              <w:t>I</w:t>
            </w:r>
            <w:r w:rsidRPr="00EE361A">
              <w:rPr>
                <w:rFonts w:ascii="Calibri" w:hAnsi="Calibri" w:cs="Calibri"/>
                <w:b/>
                <w:bCs/>
                <w:color w:val="000000"/>
                <w:sz w:val="20"/>
                <w:szCs w:val="20"/>
              </w:rPr>
              <w:t>ssue Categories</w:t>
            </w:r>
          </w:p>
        </w:tc>
        <w:tc>
          <w:tcPr>
            <w:tcW w:w="994" w:type="dxa"/>
            <w:tcBorders>
              <w:top w:val="single" w:sz="8" w:space="0" w:color="auto"/>
              <w:left w:val="nil"/>
              <w:bottom w:val="single" w:sz="8" w:space="0" w:color="auto"/>
              <w:right w:val="nil"/>
            </w:tcBorders>
            <w:noWrap/>
            <w:vAlign w:val="center"/>
            <w:hideMark/>
          </w:tcPr>
          <w:p w14:paraId="6914CE8A"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 </w:t>
            </w:r>
          </w:p>
        </w:tc>
      </w:tr>
      <w:tr w:rsidR="0084529A" w:rsidRPr="00EE361A" w14:paraId="473DCDA0" w14:textId="77777777" w:rsidTr="006C0C76">
        <w:trPr>
          <w:trHeight w:val="315"/>
          <w:jc w:val="center"/>
        </w:trPr>
        <w:tc>
          <w:tcPr>
            <w:tcW w:w="2817" w:type="dxa"/>
            <w:tcBorders>
              <w:top w:val="nil"/>
              <w:left w:val="nil"/>
              <w:bottom w:val="nil"/>
              <w:right w:val="nil"/>
            </w:tcBorders>
            <w:noWrap/>
            <w:vAlign w:val="center"/>
            <w:hideMark/>
          </w:tcPr>
          <w:p w14:paraId="0034C6DE"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Political ‘management’ of pandemic</w:t>
            </w:r>
          </w:p>
        </w:tc>
        <w:tc>
          <w:tcPr>
            <w:tcW w:w="994" w:type="dxa"/>
            <w:tcBorders>
              <w:top w:val="nil"/>
              <w:left w:val="nil"/>
              <w:bottom w:val="nil"/>
              <w:right w:val="single" w:sz="8" w:space="0" w:color="auto"/>
            </w:tcBorders>
            <w:noWrap/>
            <w:vAlign w:val="center"/>
            <w:hideMark/>
          </w:tcPr>
          <w:p w14:paraId="03BDD0C6"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37%</w:t>
            </w:r>
          </w:p>
        </w:tc>
        <w:tc>
          <w:tcPr>
            <w:tcW w:w="3429" w:type="dxa"/>
            <w:tcBorders>
              <w:top w:val="nil"/>
              <w:left w:val="nil"/>
              <w:bottom w:val="nil"/>
              <w:right w:val="nil"/>
            </w:tcBorders>
            <w:noWrap/>
            <w:vAlign w:val="center"/>
            <w:hideMark/>
          </w:tcPr>
          <w:p w14:paraId="23FEF029" w14:textId="5695A153"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Denial - </w:t>
            </w:r>
            <w:r w:rsidR="00224AD4" w:rsidRPr="00EE361A">
              <w:rPr>
                <w:rFonts w:ascii="Calibri" w:hAnsi="Calibri" w:cs="Calibri"/>
                <w:color w:val="000000"/>
                <w:sz w:val="20"/>
                <w:szCs w:val="20"/>
              </w:rPr>
              <w:t>c</w:t>
            </w:r>
            <w:r w:rsidRPr="00EE361A">
              <w:rPr>
                <w:rFonts w:ascii="Calibri" w:hAnsi="Calibri" w:cs="Calibri"/>
                <w:color w:val="000000"/>
                <w:sz w:val="20"/>
                <w:szCs w:val="20"/>
              </w:rPr>
              <w:t>onspiracy theories related with covid</w:t>
            </w:r>
          </w:p>
        </w:tc>
        <w:tc>
          <w:tcPr>
            <w:tcW w:w="994" w:type="dxa"/>
            <w:tcBorders>
              <w:top w:val="nil"/>
              <w:left w:val="nil"/>
              <w:bottom w:val="nil"/>
              <w:right w:val="nil"/>
            </w:tcBorders>
            <w:noWrap/>
            <w:vAlign w:val="center"/>
            <w:hideMark/>
          </w:tcPr>
          <w:p w14:paraId="06500789"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25%</w:t>
            </w:r>
          </w:p>
        </w:tc>
      </w:tr>
      <w:tr w:rsidR="0084529A" w:rsidRPr="00EE361A" w14:paraId="09F68797" w14:textId="77777777" w:rsidTr="006C0C76">
        <w:trPr>
          <w:trHeight w:val="315"/>
          <w:jc w:val="center"/>
        </w:trPr>
        <w:tc>
          <w:tcPr>
            <w:tcW w:w="2817" w:type="dxa"/>
            <w:tcBorders>
              <w:top w:val="nil"/>
              <w:left w:val="nil"/>
              <w:bottom w:val="nil"/>
              <w:right w:val="nil"/>
            </w:tcBorders>
            <w:noWrap/>
            <w:vAlign w:val="center"/>
            <w:hideMark/>
          </w:tcPr>
          <w:p w14:paraId="290653D2"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Health management of pandemic</w:t>
            </w:r>
          </w:p>
        </w:tc>
        <w:tc>
          <w:tcPr>
            <w:tcW w:w="994" w:type="dxa"/>
            <w:tcBorders>
              <w:top w:val="nil"/>
              <w:left w:val="nil"/>
              <w:bottom w:val="nil"/>
              <w:right w:val="single" w:sz="8" w:space="0" w:color="auto"/>
            </w:tcBorders>
            <w:noWrap/>
            <w:vAlign w:val="center"/>
            <w:hideMark/>
          </w:tcPr>
          <w:p w14:paraId="72CA759B"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31%</w:t>
            </w:r>
          </w:p>
        </w:tc>
        <w:tc>
          <w:tcPr>
            <w:tcW w:w="3429" w:type="dxa"/>
            <w:tcBorders>
              <w:top w:val="nil"/>
              <w:left w:val="nil"/>
              <w:bottom w:val="nil"/>
              <w:right w:val="nil"/>
            </w:tcBorders>
            <w:noWrap/>
            <w:vAlign w:val="center"/>
            <w:hideMark/>
          </w:tcPr>
          <w:p w14:paraId="5C0E9EBD"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Political ‘management’ of pandemic</w:t>
            </w:r>
          </w:p>
        </w:tc>
        <w:tc>
          <w:tcPr>
            <w:tcW w:w="994" w:type="dxa"/>
            <w:tcBorders>
              <w:top w:val="nil"/>
              <w:left w:val="nil"/>
              <w:bottom w:val="nil"/>
              <w:right w:val="nil"/>
            </w:tcBorders>
            <w:noWrap/>
            <w:vAlign w:val="center"/>
            <w:hideMark/>
          </w:tcPr>
          <w:p w14:paraId="37EC9400"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18%</w:t>
            </w:r>
          </w:p>
        </w:tc>
      </w:tr>
      <w:tr w:rsidR="0084529A" w:rsidRPr="00EE361A" w14:paraId="131459D6" w14:textId="77777777" w:rsidTr="006C0C76">
        <w:trPr>
          <w:trHeight w:val="315"/>
          <w:jc w:val="center"/>
        </w:trPr>
        <w:tc>
          <w:tcPr>
            <w:tcW w:w="2817" w:type="dxa"/>
            <w:tcBorders>
              <w:top w:val="nil"/>
              <w:left w:val="nil"/>
              <w:bottom w:val="nil"/>
              <w:right w:val="nil"/>
            </w:tcBorders>
            <w:noWrap/>
            <w:vAlign w:val="center"/>
            <w:hideMark/>
          </w:tcPr>
          <w:p w14:paraId="51BC5930" w14:textId="04F4D3A6" w:rsidR="0084529A" w:rsidRPr="00EE361A" w:rsidRDefault="0075686B"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Individual behaviour – experiences </w:t>
            </w:r>
          </w:p>
        </w:tc>
        <w:tc>
          <w:tcPr>
            <w:tcW w:w="994" w:type="dxa"/>
            <w:tcBorders>
              <w:top w:val="nil"/>
              <w:left w:val="nil"/>
              <w:bottom w:val="nil"/>
              <w:right w:val="single" w:sz="8" w:space="0" w:color="auto"/>
            </w:tcBorders>
            <w:noWrap/>
            <w:vAlign w:val="center"/>
            <w:hideMark/>
          </w:tcPr>
          <w:p w14:paraId="41B65C28" w14:textId="3D2FC016" w:rsidR="0084529A" w:rsidRPr="00EE361A" w:rsidRDefault="0075686B" w:rsidP="006C0C76">
            <w:pPr>
              <w:ind w:left="29"/>
              <w:jc w:val="both"/>
              <w:rPr>
                <w:rFonts w:ascii="Calibri" w:hAnsi="Calibri" w:cs="Calibri"/>
                <w:color w:val="000000"/>
                <w:sz w:val="20"/>
                <w:szCs w:val="20"/>
              </w:rPr>
            </w:pPr>
            <w:r w:rsidRPr="00EE361A">
              <w:rPr>
                <w:rFonts w:ascii="Calibri" w:hAnsi="Calibri" w:cs="Calibri"/>
                <w:color w:val="000000"/>
                <w:sz w:val="20"/>
                <w:szCs w:val="20"/>
              </w:rPr>
              <w:t>11</w:t>
            </w:r>
            <w:r w:rsidR="0084529A" w:rsidRPr="00EE361A">
              <w:rPr>
                <w:rFonts w:ascii="Calibri" w:hAnsi="Calibri" w:cs="Calibri"/>
                <w:color w:val="000000"/>
                <w:sz w:val="20"/>
                <w:szCs w:val="20"/>
              </w:rPr>
              <w:t>%</w:t>
            </w:r>
          </w:p>
        </w:tc>
        <w:tc>
          <w:tcPr>
            <w:tcW w:w="3429" w:type="dxa"/>
            <w:tcBorders>
              <w:top w:val="nil"/>
              <w:left w:val="nil"/>
              <w:bottom w:val="nil"/>
              <w:right w:val="nil"/>
            </w:tcBorders>
            <w:noWrap/>
            <w:vAlign w:val="center"/>
            <w:hideMark/>
          </w:tcPr>
          <w:p w14:paraId="0BFA3C95" w14:textId="10CD8442"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People </w:t>
            </w:r>
            <w:r w:rsidR="00224AD4" w:rsidRPr="00EE361A">
              <w:rPr>
                <w:rFonts w:ascii="Calibri" w:hAnsi="Calibri" w:cs="Calibri"/>
                <w:color w:val="000000"/>
                <w:sz w:val="20"/>
                <w:szCs w:val="20"/>
              </w:rPr>
              <w:t>u</w:t>
            </w:r>
            <w:r w:rsidRPr="00EE361A">
              <w:rPr>
                <w:rFonts w:ascii="Calibri" w:hAnsi="Calibri" w:cs="Calibri"/>
                <w:color w:val="000000"/>
                <w:sz w:val="20"/>
                <w:szCs w:val="20"/>
              </w:rPr>
              <w:t xml:space="preserve">nfocused defused topics </w:t>
            </w:r>
          </w:p>
        </w:tc>
        <w:tc>
          <w:tcPr>
            <w:tcW w:w="994" w:type="dxa"/>
            <w:tcBorders>
              <w:top w:val="nil"/>
              <w:left w:val="nil"/>
              <w:bottom w:val="nil"/>
              <w:right w:val="nil"/>
            </w:tcBorders>
            <w:noWrap/>
            <w:vAlign w:val="center"/>
            <w:hideMark/>
          </w:tcPr>
          <w:p w14:paraId="19F2CFA3"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16%</w:t>
            </w:r>
          </w:p>
        </w:tc>
      </w:tr>
      <w:tr w:rsidR="0084529A" w:rsidRPr="00EE361A" w14:paraId="78B2DA45" w14:textId="77777777" w:rsidTr="006C0C76">
        <w:trPr>
          <w:trHeight w:val="315"/>
          <w:jc w:val="center"/>
        </w:trPr>
        <w:tc>
          <w:tcPr>
            <w:tcW w:w="2817" w:type="dxa"/>
            <w:tcBorders>
              <w:top w:val="nil"/>
              <w:left w:val="nil"/>
              <w:bottom w:val="nil"/>
              <w:right w:val="nil"/>
            </w:tcBorders>
            <w:noWrap/>
            <w:vAlign w:val="center"/>
            <w:hideMark/>
          </w:tcPr>
          <w:p w14:paraId="0EC7345F" w14:textId="219CCAC8" w:rsidR="0084529A" w:rsidRPr="00EE361A" w:rsidRDefault="0075686B" w:rsidP="006C0C76">
            <w:pPr>
              <w:ind w:left="29"/>
              <w:jc w:val="both"/>
              <w:rPr>
                <w:rFonts w:ascii="Calibri" w:hAnsi="Calibri" w:cs="Calibri"/>
                <w:color w:val="000000"/>
                <w:sz w:val="20"/>
                <w:szCs w:val="20"/>
              </w:rPr>
            </w:pPr>
            <w:r w:rsidRPr="00EE361A">
              <w:rPr>
                <w:rFonts w:ascii="Calibri" w:hAnsi="Calibri" w:cs="Calibri"/>
                <w:color w:val="000000"/>
                <w:sz w:val="20"/>
                <w:szCs w:val="20"/>
              </w:rPr>
              <w:t>Health issues directly related with Covid-19</w:t>
            </w:r>
            <w:r w:rsidR="0084529A" w:rsidRPr="00EE361A">
              <w:rPr>
                <w:rFonts w:ascii="Calibri" w:hAnsi="Calibri" w:cs="Calibri"/>
                <w:color w:val="000000"/>
                <w:sz w:val="20"/>
                <w:szCs w:val="20"/>
              </w:rPr>
              <w:t>I</w:t>
            </w:r>
            <w:r w:rsidRPr="00EE361A">
              <w:rPr>
                <w:rFonts w:ascii="Calibri" w:hAnsi="Calibri" w:cs="Calibri"/>
                <w:color w:val="000000"/>
                <w:sz w:val="20"/>
                <w:szCs w:val="20"/>
              </w:rPr>
              <w:t xml:space="preserve"> </w:t>
            </w:r>
          </w:p>
        </w:tc>
        <w:tc>
          <w:tcPr>
            <w:tcW w:w="994" w:type="dxa"/>
            <w:tcBorders>
              <w:top w:val="nil"/>
              <w:left w:val="nil"/>
              <w:bottom w:val="nil"/>
              <w:right w:val="single" w:sz="8" w:space="0" w:color="auto"/>
            </w:tcBorders>
            <w:noWrap/>
            <w:vAlign w:val="center"/>
            <w:hideMark/>
          </w:tcPr>
          <w:p w14:paraId="0B30DAE2" w14:textId="5F113E70" w:rsidR="0084529A" w:rsidRPr="00EE361A" w:rsidRDefault="0075686B" w:rsidP="006C0C76">
            <w:pPr>
              <w:ind w:left="29"/>
              <w:jc w:val="both"/>
              <w:rPr>
                <w:rFonts w:ascii="Calibri" w:hAnsi="Calibri" w:cs="Calibri"/>
                <w:color w:val="000000"/>
                <w:sz w:val="20"/>
                <w:szCs w:val="20"/>
              </w:rPr>
            </w:pPr>
            <w:r w:rsidRPr="00EE361A">
              <w:rPr>
                <w:rFonts w:ascii="Calibri" w:hAnsi="Calibri" w:cs="Calibri"/>
                <w:color w:val="000000"/>
                <w:sz w:val="20"/>
                <w:szCs w:val="20"/>
              </w:rPr>
              <w:t>10</w:t>
            </w:r>
            <w:r w:rsidR="0084529A" w:rsidRPr="00EE361A">
              <w:rPr>
                <w:rFonts w:ascii="Calibri" w:hAnsi="Calibri" w:cs="Calibri"/>
                <w:color w:val="000000"/>
                <w:sz w:val="20"/>
                <w:szCs w:val="20"/>
              </w:rPr>
              <w:t>%</w:t>
            </w:r>
          </w:p>
        </w:tc>
        <w:tc>
          <w:tcPr>
            <w:tcW w:w="3429" w:type="dxa"/>
            <w:tcBorders>
              <w:top w:val="nil"/>
              <w:left w:val="nil"/>
              <w:bottom w:val="nil"/>
              <w:right w:val="nil"/>
            </w:tcBorders>
            <w:noWrap/>
            <w:vAlign w:val="center"/>
            <w:hideMark/>
          </w:tcPr>
          <w:p w14:paraId="6C49D6AE"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Health management of pandemic</w:t>
            </w:r>
          </w:p>
        </w:tc>
        <w:tc>
          <w:tcPr>
            <w:tcW w:w="994" w:type="dxa"/>
            <w:tcBorders>
              <w:top w:val="nil"/>
              <w:left w:val="nil"/>
              <w:bottom w:val="nil"/>
              <w:right w:val="nil"/>
            </w:tcBorders>
            <w:noWrap/>
            <w:vAlign w:val="center"/>
            <w:hideMark/>
          </w:tcPr>
          <w:p w14:paraId="67BDD575"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13%</w:t>
            </w:r>
          </w:p>
        </w:tc>
      </w:tr>
      <w:tr w:rsidR="0084529A" w:rsidRPr="00EE361A" w14:paraId="0C133310" w14:textId="77777777" w:rsidTr="006C0C76">
        <w:trPr>
          <w:trHeight w:val="334"/>
          <w:jc w:val="center"/>
        </w:trPr>
        <w:tc>
          <w:tcPr>
            <w:tcW w:w="2817" w:type="dxa"/>
            <w:tcBorders>
              <w:top w:val="nil"/>
              <w:left w:val="nil"/>
              <w:bottom w:val="single" w:sz="8" w:space="0" w:color="auto"/>
              <w:right w:val="nil"/>
            </w:tcBorders>
            <w:noWrap/>
            <w:vAlign w:val="center"/>
            <w:hideMark/>
          </w:tcPr>
          <w:p w14:paraId="006C7112"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Economic effects of the pandemic</w:t>
            </w:r>
          </w:p>
        </w:tc>
        <w:tc>
          <w:tcPr>
            <w:tcW w:w="994" w:type="dxa"/>
            <w:tcBorders>
              <w:top w:val="nil"/>
              <w:left w:val="nil"/>
              <w:bottom w:val="single" w:sz="8" w:space="0" w:color="auto"/>
              <w:right w:val="single" w:sz="8" w:space="0" w:color="auto"/>
            </w:tcBorders>
            <w:noWrap/>
            <w:vAlign w:val="center"/>
            <w:hideMark/>
          </w:tcPr>
          <w:p w14:paraId="5B3A7782"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5%</w:t>
            </w:r>
          </w:p>
        </w:tc>
        <w:tc>
          <w:tcPr>
            <w:tcW w:w="3429" w:type="dxa"/>
            <w:tcBorders>
              <w:top w:val="nil"/>
              <w:left w:val="nil"/>
              <w:bottom w:val="single" w:sz="8" w:space="0" w:color="auto"/>
              <w:right w:val="nil"/>
            </w:tcBorders>
            <w:noWrap/>
            <w:vAlign w:val="center"/>
            <w:hideMark/>
          </w:tcPr>
          <w:p w14:paraId="6D07AA5D"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Health issues directly related with Covid-19</w:t>
            </w:r>
          </w:p>
        </w:tc>
        <w:tc>
          <w:tcPr>
            <w:tcW w:w="994" w:type="dxa"/>
            <w:tcBorders>
              <w:top w:val="nil"/>
              <w:left w:val="nil"/>
              <w:bottom w:val="single" w:sz="8" w:space="0" w:color="auto"/>
              <w:right w:val="nil"/>
            </w:tcBorders>
            <w:noWrap/>
            <w:vAlign w:val="center"/>
            <w:hideMark/>
          </w:tcPr>
          <w:p w14:paraId="5A1FABEB"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12%</w:t>
            </w:r>
          </w:p>
        </w:tc>
      </w:tr>
      <w:tr w:rsidR="0084529A" w:rsidRPr="00EE361A" w14:paraId="62045CCE" w14:textId="77777777" w:rsidTr="006C0C76">
        <w:trPr>
          <w:trHeight w:val="334"/>
          <w:jc w:val="center"/>
        </w:trPr>
        <w:tc>
          <w:tcPr>
            <w:tcW w:w="3812" w:type="dxa"/>
            <w:gridSpan w:val="2"/>
            <w:tcBorders>
              <w:top w:val="single" w:sz="8" w:space="0" w:color="auto"/>
              <w:left w:val="nil"/>
              <w:bottom w:val="single" w:sz="8" w:space="0" w:color="auto"/>
              <w:right w:val="single" w:sz="8" w:space="0" w:color="000000"/>
            </w:tcBorders>
            <w:noWrap/>
            <w:vAlign w:val="center"/>
            <w:hideMark/>
          </w:tcPr>
          <w:p w14:paraId="579A9460" w14:textId="77777777" w:rsidR="0084529A" w:rsidRPr="00EE361A" w:rsidRDefault="0084529A" w:rsidP="006C0C76">
            <w:pPr>
              <w:ind w:left="29"/>
              <w:jc w:val="both"/>
              <w:rPr>
                <w:rFonts w:ascii="Calibri" w:hAnsi="Calibri" w:cs="Calibri"/>
                <w:b/>
                <w:bCs/>
                <w:color w:val="000000"/>
                <w:sz w:val="20"/>
                <w:szCs w:val="20"/>
              </w:rPr>
            </w:pPr>
            <w:r w:rsidRPr="00EE361A">
              <w:rPr>
                <w:rFonts w:ascii="Calibri" w:hAnsi="Calibri" w:cs="Calibri"/>
                <w:b/>
                <w:bCs/>
                <w:color w:val="000000"/>
                <w:sz w:val="20"/>
                <w:szCs w:val="20"/>
              </w:rPr>
              <w:t>Top 5 Claims’ Specific Issues</w:t>
            </w:r>
          </w:p>
        </w:tc>
        <w:tc>
          <w:tcPr>
            <w:tcW w:w="3429" w:type="dxa"/>
            <w:tcBorders>
              <w:top w:val="nil"/>
              <w:left w:val="nil"/>
              <w:bottom w:val="single" w:sz="8" w:space="0" w:color="auto"/>
              <w:right w:val="nil"/>
            </w:tcBorders>
            <w:noWrap/>
            <w:vAlign w:val="center"/>
            <w:hideMark/>
          </w:tcPr>
          <w:p w14:paraId="603AFD1E" w14:textId="77777777" w:rsidR="0084529A" w:rsidRPr="00EE361A" w:rsidRDefault="0084529A" w:rsidP="006C0C76">
            <w:pPr>
              <w:ind w:left="29"/>
              <w:jc w:val="both"/>
              <w:rPr>
                <w:rFonts w:ascii="Calibri" w:hAnsi="Calibri" w:cs="Calibri"/>
                <w:b/>
                <w:bCs/>
                <w:color w:val="000000"/>
                <w:sz w:val="20"/>
                <w:szCs w:val="20"/>
              </w:rPr>
            </w:pPr>
            <w:r w:rsidRPr="00EE361A">
              <w:rPr>
                <w:rFonts w:ascii="Calibri" w:hAnsi="Calibri" w:cs="Calibri"/>
                <w:b/>
                <w:bCs/>
                <w:color w:val="000000"/>
                <w:sz w:val="20"/>
                <w:szCs w:val="20"/>
              </w:rPr>
              <w:t xml:space="preserve">Top 5 FB Comments Specific issues </w:t>
            </w:r>
          </w:p>
        </w:tc>
        <w:tc>
          <w:tcPr>
            <w:tcW w:w="994" w:type="dxa"/>
            <w:tcBorders>
              <w:top w:val="nil"/>
              <w:left w:val="nil"/>
              <w:bottom w:val="single" w:sz="8" w:space="0" w:color="auto"/>
              <w:right w:val="nil"/>
            </w:tcBorders>
            <w:noWrap/>
            <w:vAlign w:val="center"/>
            <w:hideMark/>
          </w:tcPr>
          <w:p w14:paraId="520D445C" w14:textId="77777777" w:rsidR="0084529A" w:rsidRPr="00EE361A" w:rsidRDefault="0084529A" w:rsidP="006C0C76">
            <w:pPr>
              <w:jc w:val="both"/>
              <w:rPr>
                <w:rFonts w:ascii="Calibri" w:hAnsi="Calibri" w:cs="Calibri"/>
                <w:b/>
                <w:bCs/>
                <w:color w:val="000000"/>
                <w:sz w:val="20"/>
                <w:szCs w:val="20"/>
              </w:rPr>
            </w:pPr>
            <w:r w:rsidRPr="00EE361A">
              <w:rPr>
                <w:rFonts w:ascii="Calibri" w:hAnsi="Calibri" w:cs="Calibri"/>
                <w:b/>
                <w:bCs/>
                <w:color w:val="000000"/>
                <w:sz w:val="20"/>
                <w:szCs w:val="20"/>
              </w:rPr>
              <w:t> </w:t>
            </w:r>
          </w:p>
        </w:tc>
      </w:tr>
      <w:tr w:rsidR="0084529A" w:rsidRPr="00EE361A" w14:paraId="0B8F491D" w14:textId="77777777" w:rsidTr="006C0C76">
        <w:trPr>
          <w:trHeight w:val="334"/>
          <w:jc w:val="center"/>
        </w:trPr>
        <w:tc>
          <w:tcPr>
            <w:tcW w:w="2817" w:type="dxa"/>
            <w:tcBorders>
              <w:top w:val="nil"/>
              <w:left w:val="nil"/>
              <w:bottom w:val="nil"/>
              <w:right w:val="nil"/>
            </w:tcBorders>
            <w:vAlign w:val="center"/>
            <w:hideMark/>
          </w:tcPr>
          <w:p w14:paraId="5C692D71"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Vaccination</w:t>
            </w:r>
          </w:p>
        </w:tc>
        <w:tc>
          <w:tcPr>
            <w:tcW w:w="994" w:type="dxa"/>
            <w:tcBorders>
              <w:top w:val="nil"/>
              <w:left w:val="nil"/>
              <w:bottom w:val="nil"/>
              <w:right w:val="single" w:sz="8" w:space="0" w:color="auto"/>
            </w:tcBorders>
            <w:vAlign w:val="center"/>
            <w:hideMark/>
          </w:tcPr>
          <w:p w14:paraId="4A012363"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11%</w:t>
            </w:r>
          </w:p>
        </w:tc>
        <w:tc>
          <w:tcPr>
            <w:tcW w:w="3429" w:type="dxa"/>
            <w:tcBorders>
              <w:top w:val="nil"/>
              <w:left w:val="nil"/>
              <w:bottom w:val="nil"/>
              <w:right w:val="nil"/>
            </w:tcBorders>
            <w:noWrap/>
            <w:vAlign w:val="center"/>
            <w:hideMark/>
          </w:tcPr>
          <w:p w14:paraId="28B776EA" w14:textId="62A597DB"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People </w:t>
            </w:r>
            <w:r w:rsidR="006423B0" w:rsidRPr="00EE361A">
              <w:rPr>
                <w:rFonts w:ascii="Calibri" w:hAnsi="Calibri" w:cs="Calibri"/>
                <w:color w:val="000000"/>
                <w:sz w:val="20"/>
                <w:szCs w:val="20"/>
              </w:rPr>
              <w:t>u</w:t>
            </w:r>
            <w:r w:rsidRPr="00EE361A">
              <w:rPr>
                <w:rFonts w:ascii="Calibri" w:hAnsi="Calibri" w:cs="Calibri"/>
                <w:color w:val="000000"/>
                <w:sz w:val="20"/>
                <w:szCs w:val="20"/>
              </w:rPr>
              <w:t xml:space="preserve">nfocused defused topics </w:t>
            </w:r>
          </w:p>
        </w:tc>
        <w:tc>
          <w:tcPr>
            <w:tcW w:w="994" w:type="dxa"/>
            <w:tcBorders>
              <w:top w:val="nil"/>
              <w:left w:val="nil"/>
              <w:bottom w:val="nil"/>
              <w:right w:val="nil"/>
            </w:tcBorders>
            <w:noWrap/>
            <w:vAlign w:val="center"/>
            <w:hideMark/>
          </w:tcPr>
          <w:p w14:paraId="2159C2B4"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16%</w:t>
            </w:r>
          </w:p>
        </w:tc>
      </w:tr>
      <w:tr w:rsidR="0084529A" w:rsidRPr="00EE361A" w14:paraId="38DF68C6" w14:textId="77777777" w:rsidTr="006C0C76">
        <w:trPr>
          <w:trHeight w:val="315"/>
          <w:jc w:val="center"/>
        </w:trPr>
        <w:tc>
          <w:tcPr>
            <w:tcW w:w="2817" w:type="dxa"/>
            <w:tcBorders>
              <w:top w:val="nil"/>
              <w:left w:val="nil"/>
              <w:bottom w:val="nil"/>
              <w:right w:val="nil"/>
            </w:tcBorders>
            <w:vAlign w:val="center"/>
            <w:hideMark/>
          </w:tcPr>
          <w:p w14:paraId="12F48939"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Lock downs </w:t>
            </w:r>
          </w:p>
        </w:tc>
        <w:tc>
          <w:tcPr>
            <w:tcW w:w="994" w:type="dxa"/>
            <w:tcBorders>
              <w:top w:val="nil"/>
              <w:left w:val="nil"/>
              <w:bottom w:val="nil"/>
              <w:right w:val="single" w:sz="8" w:space="0" w:color="auto"/>
            </w:tcBorders>
            <w:vAlign w:val="center"/>
            <w:hideMark/>
          </w:tcPr>
          <w:p w14:paraId="4A40FF36"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5%</w:t>
            </w:r>
          </w:p>
        </w:tc>
        <w:tc>
          <w:tcPr>
            <w:tcW w:w="3429" w:type="dxa"/>
            <w:tcBorders>
              <w:top w:val="nil"/>
              <w:left w:val="nil"/>
              <w:bottom w:val="nil"/>
              <w:right w:val="nil"/>
            </w:tcBorders>
            <w:noWrap/>
            <w:vAlign w:val="center"/>
            <w:hideMark/>
          </w:tcPr>
          <w:p w14:paraId="3A8B9A9A" w14:textId="2312AA98"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 xml:space="preserve">Denial – </w:t>
            </w:r>
            <w:r w:rsidR="00FE4025" w:rsidRPr="00EE361A">
              <w:rPr>
                <w:rFonts w:ascii="Calibri" w:hAnsi="Calibri" w:cs="Calibri"/>
                <w:color w:val="000000"/>
                <w:sz w:val="20"/>
                <w:szCs w:val="20"/>
              </w:rPr>
              <w:t>c</w:t>
            </w:r>
            <w:r w:rsidRPr="00EE361A">
              <w:rPr>
                <w:rFonts w:ascii="Calibri" w:hAnsi="Calibri" w:cs="Calibri"/>
                <w:color w:val="000000"/>
                <w:sz w:val="20"/>
                <w:szCs w:val="20"/>
              </w:rPr>
              <w:t>onspiracy theories related with covid</w:t>
            </w:r>
          </w:p>
        </w:tc>
        <w:tc>
          <w:tcPr>
            <w:tcW w:w="994" w:type="dxa"/>
            <w:tcBorders>
              <w:top w:val="nil"/>
              <w:left w:val="nil"/>
              <w:bottom w:val="nil"/>
              <w:right w:val="nil"/>
            </w:tcBorders>
            <w:noWrap/>
            <w:vAlign w:val="center"/>
            <w:hideMark/>
          </w:tcPr>
          <w:p w14:paraId="18B6D393"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13%</w:t>
            </w:r>
          </w:p>
        </w:tc>
      </w:tr>
      <w:tr w:rsidR="0084529A" w:rsidRPr="00EE361A" w14:paraId="2B022376" w14:textId="77777777" w:rsidTr="006C0C76">
        <w:trPr>
          <w:trHeight w:val="590"/>
          <w:jc w:val="center"/>
        </w:trPr>
        <w:tc>
          <w:tcPr>
            <w:tcW w:w="2817" w:type="dxa"/>
            <w:tcBorders>
              <w:top w:val="nil"/>
              <w:left w:val="nil"/>
              <w:bottom w:val="nil"/>
              <w:right w:val="nil"/>
            </w:tcBorders>
            <w:vAlign w:val="center"/>
            <w:hideMark/>
          </w:tcPr>
          <w:p w14:paraId="6DC33A82" w14:textId="422BD0C1"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Individual behavio</w:t>
            </w:r>
            <w:r w:rsidR="006423B0" w:rsidRPr="00EE361A">
              <w:rPr>
                <w:rFonts w:ascii="Calibri" w:hAnsi="Calibri" w:cs="Calibri"/>
                <w:color w:val="000000"/>
                <w:sz w:val="20"/>
                <w:szCs w:val="20"/>
              </w:rPr>
              <w:t>u</w:t>
            </w:r>
            <w:r w:rsidRPr="00EE361A">
              <w:rPr>
                <w:rFonts w:ascii="Calibri" w:hAnsi="Calibri" w:cs="Calibri"/>
                <w:color w:val="000000"/>
                <w:sz w:val="20"/>
                <w:szCs w:val="20"/>
              </w:rPr>
              <w:t xml:space="preserve">r – individual responsibility </w:t>
            </w:r>
          </w:p>
        </w:tc>
        <w:tc>
          <w:tcPr>
            <w:tcW w:w="994" w:type="dxa"/>
            <w:tcBorders>
              <w:top w:val="nil"/>
              <w:left w:val="nil"/>
              <w:bottom w:val="nil"/>
              <w:right w:val="single" w:sz="8" w:space="0" w:color="auto"/>
            </w:tcBorders>
            <w:vAlign w:val="center"/>
            <w:hideMark/>
          </w:tcPr>
          <w:p w14:paraId="75A89179"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5%</w:t>
            </w:r>
          </w:p>
        </w:tc>
        <w:tc>
          <w:tcPr>
            <w:tcW w:w="3429" w:type="dxa"/>
            <w:tcBorders>
              <w:top w:val="nil"/>
              <w:left w:val="nil"/>
              <w:bottom w:val="nil"/>
              <w:right w:val="nil"/>
            </w:tcBorders>
            <w:noWrap/>
            <w:vAlign w:val="center"/>
            <w:hideMark/>
          </w:tcPr>
          <w:p w14:paraId="5EE1BFB9"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Vaccination</w:t>
            </w:r>
          </w:p>
        </w:tc>
        <w:tc>
          <w:tcPr>
            <w:tcW w:w="994" w:type="dxa"/>
            <w:tcBorders>
              <w:top w:val="nil"/>
              <w:left w:val="nil"/>
              <w:bottom w:val="nil"/>
              <w:right w:val="nil"/>
            </w:tcBorders>
            <w:noWrap/>
            <w:vAlign w:val="center"/>
            <w:hideMark/>
          </w:tcPr>
          <w:p w14:paraId="15850449"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7%</w:t>
            </w:r>
          </w:p>
        </w:tc>
      </w:tr>
      <w:tr w:rsidR="0084529A" w:rsidRPr="00EE361A" w14:paraId="0B5E4CA3" w14:textId="77777777" w:rsidTr="006C0C76">
        <w:trPr>
          <w:trHeight w:val="590"/>
          <w:jc w:val="center"/>
        </w:trPr>
        <w:tc>
          <w:tcPr>
            <w:tcW w:w="2817" w:type="dxa"/>
            <w:tcBorders>
              <w:top w:val="nil"/>
              <w:left w:val="nil"/>
              <w:bottom w:val="nil"/>
              <w:right w:val="nil"/>
            </w:tcBorders>
            <w:vAlign w:val="center"/>
            <w:hideMark/>
          </w:tcPr>
          <w:p w14:paraId="0C172F86" w14:textId="5D84EEE8"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lastRenderedPageBreak/>
              <w:t xml:space="preserve">Compliance with Covid-19 </w:t>
            </w:r>
            <w:r w:rsidR="006423B0" w:rsidRPr="00EE361A">
              <w:rPr>
                <w:rFonts w:ascii="Calibri" w:hAnsi="Calibri" w:cs="Calibri"/>
                <w:color w:val="000000"/>
                <w:sz w:val="20"/>
                <w:szCs w:val="20"/>
              </w:rPr>
              <w:t>e</w:t>
            </w:r>
            <w:r w:rsidRPr="00EE361A">
              <w:rPr>
                <w:rFonts w:ascii="Calibri" w:hAnsi="Calibri" w:cs="Calibri"/>
                <w:color w:val="000000"/>
                <w:sz w:val="20"/>
                <w:szCs w:val="20"/>
              </w:rPr>
              <w:t xml:space="preserve">mergency measures </w:t>
            </w:r>
          </w:p>
        </w:tc>
        <w:tc>
          <w:tcPr>
            <w:tcW w:w="994" w:type="dxa"/>
            <w:tcBorders>
              <w:top w:val="nil"/>
              <w:left w:val="nil"/>
              <w:bottom w:val="nil"/>
              <w:right w:val="single" w:sz="8" w:space="0" w:color="auto"/>
            </w:tcBorders>
            <w:vAlign w:val="center"/>
            <w:hideMark/>
          </w:tcPr>
          <w:p w14:paraId="7086F05C"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4%</w:t>
            </w:r>
          </w:p>
        </w:tc>
        <w:tc>
          <w:tcPr>
            <w:tcW w:w="3429" w:type="dxa"/>
            <w:tcBorders>
              <w:top w:val="nil"/>
              <w:left w:val="nil"/>
              <w:bottom w:val="nil"/>
              <w:right w:val="nil"/>
            </w:tcBorders>
            <w:noWrap/>
            <w:vAlign w:val="center"/>
            <w:hideMark/>
          </w:tcPr>
          <w:p w14:paraId="03BFDA9C" w14:textId="7E68ED7B"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Media behavio</w:t>
            </w:r>
            <w:r w:rsidR="00FE4025" w:rsidRPr="00EE361A">
              <w:rPr>
                <w:rFonts w:ascii="Calibri" w:hAnsi="Calibri" w:cs="Calibri"/>
                <w:color w:val="000000"/>
                <w:sz w:val="20"/>
                <w:szCs w:val="20"/>
              </w:rPr>
              <w:t>u</w:t>
            </w:r>
            <w:r w:rsidRPr="00EE361A">
              <w:rPr>
                <w:rFonts w:ascii="Calibri" w:hAnsi="Calibri" w:cs="Calibri"/>
                <w:color w:val="000000"/>
                <w:sz w:val="20"/>
                <w:szCs w:val="20"/>
              </w:rPr>
              <w:t xml:space="preserve">r </w:t>
            </w:r>
          </w:p>
        </w:tc>
        <w:tc>
          <w:tcPr>
            <w:tcW w:w="994" w:type="dxa"/>
            <w:tcBorders>
              <w:top w:val="nil"/>
              <w:left w:val="nil"/>
              <w:bottom w:val="nil"/>
              <w:right w:val="nil"/>
            </w:tcBorders>
            <w:noWrap/>
            <w:vAlign w:val="center"/>
            <w:hideMark/>
          </w:tcPr>
          <w:p w14:paraId="72323669"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5%</w:t>
            </w:r>
          </w:p>
        </w:tc>
      </w:tr>
      <w:tr w:rsidR="0084529A" w:rsidRPr="00EE361A" w14:paraId="6E732185" w14:textId="77777777" w:rsidTr="006C0C76">
        <w:trPr>
          <w:trHeight w:val="610"/>
          <w:jc w:val="center"/>
        </w:trPr>
        <w:tc>
          <w:tcPr>
            <w:tcW w:w="2817" w:type="dxa"/>
            <w:tcBorders>
              <w:top w:val="nil"/>
              <w:left w:val="nil"/>
              <w:bottom w:val="single" w:sz="8" w:space="0" w:color="auto"/>
              <w:right w:val="nil"/>
            </w:tcBorders>
            <w:vAlign w:val="center"/>
            <w:hideMark/>
          </w:tcPr>
          <w:p w14:paraId="3BAED1AC"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Political ‘management’ of pandemic</w:t>
            </w:r>
          </w:p>
        </w:tc>
        <w:tc>
          <w:tcPr>
            <w:tcW w:w="994" w:type="dxa"/>
            <w:tcBorders>
              <w:top w:val="nil"/>
              <w:left w:val="nil"/>
              <w:bottom w:val="single" w:sz="8" w:space="0" w:color="auto"/>
              <w:right w:val="single" w:sz="8" w:space="0" w:color="auto"/>
            </w:tcBorders>
            <w:vAlign w:val="center"/>
            <w:hideMark/>
          </w:tcPr>
          <w:p w14:paraId="3CAE7FC3"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4%</w:t>
            </w:r>
          </w:p>
        </w:tc>
        <w:tc>
          <w:tcPr>
            <w:tcW w:w="3429" w:type="dxa"/>
            <w:tcBorders>
              <w:top w:val="nil"/>
              <w:left w:val="nil"/>
              <w:bottom w:val="single" w:sz="8" w:space="0" w:color="auto"/>
              <w:right w:val="nil"/>
            </w:tcBorders>
            <w:noWrap/>
            <w:vAlign w:val="center"/>
            <w:hideMark/>
          </w:tcPr>
          <w:p w14:paraId="0D68323C" w14:textId="77777777" w:rsidR="0084529A" w:rsidRPr="00EE361A" w:rsidRDefault="0084529A" w:rsidP="006C0C76">
            <w:pPr>
              <w:ind w:left="29"/>
              <w:jc w:val="both"/>
              <w:rPr>
                <w:rFonts w:ascii="Calibri" w:hAnsi="Calibri" w:cs="Calibri"/>
                <w:color w:val="000000"/>
                <w:sz w:val="20"/>
                <w:szCs w:val="20"/>
              </w:rPr>
            </w:pPr>
            <w:r w:rsidRPr="00EE361A">
              <w:rPr>
                <w:rFonts w:ascii="Calibri" w:hAnsi="Calibri" w:cs="Calibri"/>
                <w:color w:val="000000"/>
                <w:sz w:val="20"/>
                <w:szCs w:val="20"/>
              </w:rPr>
              <w:t>Political ‘management’ of pandemic</w:t>
            </w:r>
          </w:p>
        </w:tc>
        <w:tc>
          <w:tcPr>
            <w:tcW w:w="994" w:type="dxa"/>
            <w:tcBorders>
              <w:top w:val="nil"/>
              <w:left w:val="nil"/>
              <w:bottom w:val="single" w:sz="8" w:space="0" w:color="auto"/>
              <w:right w:val="nil"/>
            </w:tcBorders>
            <w:noWrap/>
            <w:vAlign w:val="center"/>
            <w:hideMark/>
          </w:tcPr>
          <w:p w14:paraId="715BEBD4" w14:textId="77777777" w:rsidR="0084529A" w:rsidRPr="00EE361A" w:rsidRDefault="0084529A" w:rsidP="006C0C76">
            <w:pPr>
              <w:jc w:val="both"/>
              <w:rPr>
                <w:rFonts w:ascii="Calibri" w:hAnsi="Calibri" w:cs="Calibri"/>
                <w:color w:val="000000"/>
                <w:sz w:val="20"/>
                <w:szCs w:val="20"/>
              </w:rPr>
            </w:pPr>
            <w:r w:rsidRPr="00EE361A">
              <w:rPr>
                <w:rFonts w:ascii="Calibri" w:hAnsi="Calibri" w:cs="Calibri"/>
                <w:color w:val="000000"/>
                <w:sz w:val="20"/>
                <w:szCs w:val="20"/>
              </w:rPr>
              <w:t>4%</w:t>
            </w:r>
          </w:p>
        </w:tc>
      </w:tr>
    </w:tbl>
    <w:p w14:paraId="51D9CEBF" w14:textId="77777777" w:rsidR="0084529A" w:rsidRPr="00EE361A" w:rsidRDefault="0084529A" w:rsidP="0084529A">
      <w:pPr>
        <w:jc w:val="center"/>
        <w:rPr>
          <w:rFonts w:asciiTheme="minorHAnsi" w:hAnsiTheme="minorHAnsi" w:cstheme="minorHAnsi"/>
        </w:rPr>
      </w:pPr>
    </w:p>
    <w:p w14:paraId="2BDD50BA" w14:textId="77777777" w:rsidR="0084529A" w:rsidRPr="00EE361A" w:rsidRDefault="0084529A" w:rsidP="0084529A">
      <w:pPr>
        <w:jc w:val="both"/>
        <w:rPr>
          <w:rFonts w:asciiTheme="minorHAnsi" w:hAnsiTheme="minorHAnsi" w:cstheme="minorHAnsi"/>
        </w:rPr>
      </w:pPr>
    </w:p>
    <w:p w14:paraId="646EB327" w14:textId="77777777" w:rsidR="0084529A" w:rsidRPr="00EE361A" w:rsidRDefault="0084529A" w:rsidP="0084529A">
      <w:pPr>
        <w:jc w:val="both"/>
        <w:rPr>
          <w:rFonts w:asciiTheme="minorHAnsi" w:hAnsiTheme="minorHAnsi" w:cstheme="minorHAnsi"/>
          <w:b/>
          <w:bCs/>
        </w:rPr>
      </w:pPr>
    </w:p>
    <w:p w14:paraId="05DBD93B" w14:textId="77777777" w:rsidR="0084529A" w:rsidRPr="00EE361A" w:rsidRDefault="0084529A" w:rsidP="0084529A">
      <w:pPr>
        <w:jc w:val="both"/>
        <w:rPr>
          <w:rFonts w:asciiTheme="minorHAnsi" w:eastAsiaTheme="majorEastAsia" w:hAnsiTheme="minorHAnsi" w:cstheme="minorHAnsi"/>
          <w:color w:val="0F4761" w:themeColor="accent1" w:themeShade="BF"/>
          <w:sz w:val="26"/>
          <w:szCs w:val="26"/>
        </w:rPr>
      </w:pPr>
      <w:r w:rsidRPr="00EE361A">
        <w:rPr>
          <w:rFonts w:asciiTheme="minorHAnsi" w:eastAsiaTheme="majorEastAsia" w:hAnsiTheme="minorHAnsi" w:cstheme="minorHAnsi"/>
          <w:color w:val="0F4761" w:themeColor="accent1" w:themeShade="BF"/>
          <w:sz w:val="26"/>
          <w:szCs w:val="26"/>
        </w:rPr>
        <w:t>Between State, Science, and Society: Communication Strategies and Pandemic Governance</w:t>
      </w:r>
    </w:p>
    <w:p w14:paraId="5E295BC9" w14:textId="77777777" w:rsidR="0084529A" w:rsidRPr="00EE361A" w:rsidRDefault="0084529A" w:rsidP="0084529A">
      <w:pPr>
        <w:jc w:val="both"/>
        <w:rPr>
          <w:rFonts w:asciiTheme="minorHAnsi" w:hAnsiTheme="minorHAnsi" w:cstheme="minorHAnsi"/>
        </w:rPr>
      </w:pPr>
    </w:p>
    <w:p w14:paraId="73B3266D" w14:textId="50C5733B"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The interviews with scientists, policymakers, and journalists deepen understanding of how crisis communication unfolded between state institutions, experts, and society—complementing the patterns identified in </w:t>
      </w:r>
      <w:r w:rsidR="00CD10FE" w:rsidRPr="00EE361A">
        <w:rPr>
          <w:rFonts w:asciiTheme="minorHAnsi" w:hAnsiTheme="minorHAnsi" w:cstheme="minorHAnsi"/>
        </w:rPr>
        <w:t xml:space="preserve">the </w:t>
      </w:r>
      <w:r w:rsidR="003D4229" w:rsidRPr="00EE361A">
        <w:rPr>
          <w:rFonts w:asciiTheme="minorHAnsi" w:hAnsiTheme="minorHAnsi" w:cstheme="minorHAnsi"/>
        </w:rPr>
        <w:t>online</w:t>
      </w:r>
      <w:r w:rsidR="007B241E" w:rsidRPr="00EE361A">
        <w:rPr>
          <w:rFonts w:asciiTheme="minorHAnsi" w:hAnsiTheme="minorHAnsi" w:cstheme="minorHAnsi"/>
        </w:rPr>
        <w:t xml:space="preserve"> news </w:t>
      </w:r>
      <w:r w:rsidRPr="00EE361A">
        <w:rPr>
          <w:rFonts w:asciiTheme="minorHAnsi" w:hAnsiTheme="minorHAnsi" w:cstheme="minorHAnsi"/>
        </w:rPr>
        <w:t xml:space="preserve">media and Facebook analyses. </w:t>
      </w:r>
      <w:r w:rsidR="000C1844" w:rsidRPr="00EE361A">
        <w:rPr>
          <w:rFonts w:asciiTheme="minorHAnsi" w:hAnsiTheme="minorHAnsi" w:cstheme="minorHAnsi"/>
        </w:rPr>
        <w:t>They clarify how institutional communication worked in practice and why coordination became harder over time.</w:t>
      </w:r>
      <w:r w:rsidRPr="00EE361A">
        <w:rPr>
          <w:rFonts w:asciiTheme="minorHAnsi" w:hAnsiTheme="minorHAnsi" w:cstheme="minorHAnsi"/>
        </w:rPr>
        <w:t>.</w:t>
      </w:r>
    </w:p>
    <w:p w14:paraId="2C999917" w14:textId="77777777" w:rsidR="003D4229" w:rsidRPr="00EE361A" w:rsidRDefault="003D4229" w:rsidP="003D4229">
      <w:pPr>
        <w:jc w:val="both"/>
        <w:rPr>
          <w:color w:val="000000"/>
        </w:rPr>
      </w:pPr>
    </w:p>
    <w:p w14:paraId="438FE800" w14:textId="5872A836" w:rsidR="0084529A" w:rsidRPr="00EE361A" w:rsidRDefault="0084529A" w:rsidP="0084529A">
      <w:pPr>
        <w:jc w:val="both"/>
        <w:rPr>
          <w:rFonts w:asciiTheme="minorHAnsi" w:hAnsiTheme="minorHAnsi" w:cstheme="minorHAnsi"/>
        </w:rPr>
      </w:pPr>
      <w:r w:rsidRPr="00EE361A">
        <w:rPr>
          <w:rFonts w:asciiTheme="minorHAnsi" w:hAnsiTheme="minorHAnsi" w:cstheme="minorHAnsi"/>
        </w:rPr>
        <w:t>Interviewees consistently confirmed the central role of the expert committee</w:t>
      </w:r>
      <w:r w:rsidR="00AF3C82" w:rsidRPr="00EE361A">
        <w:rPr>
          <w:rFonts w:asciiTheme="minorHAnsi" w:hAnsiTheme="minorHAnsi" w:cstheme="minorHAnsi"/>
        </w:rPr>
        <w:t xml:space="preserve">. composed of leading health specialists, </w:t>
      </w:r>
      <w:r w:rsidR="003D4229" w:rsidRPr="00EE361A">
        <w:rPr>
          <w:rFonts w:asciiTheme="minorHAnsi" w:hAnsiTheme="minorHAnsi" w:cstheme="minorHAnsi"/>
        </w:rPr>
        <w:t xml:space="preserve">that </w:t>
      </w:r>
      <w:r w:rsidR="00AF3C82" w:rsidRPr="00EE361A">
        <w:rPr>
          <w:rFonts w:asciiTheme="minorHAnsi" w:hAnsiTheme="minorHAnsi" w:cstheme="minorHAnsi"/>
        </w:rPr>
        <w:t xml:space="preserve">functioned as an advisory body </w:t>
      </w:r>
      <w:r w:rsidRPr="00EE361A">
        <w:rPr>
          <w:rFonts w:asciiTheme="minorHAnsi" w:hAnsiTheme="minorHAnsi" w:cstheme="minorHAnsi"/>
        </w:rPr>
        <w:t>in pandemic management, i</w:t>
      </w:r>
      <w:r w:rsidR="00B467BD" w:rsidRPr="00EE361A">
        <w:rPr>
          <w:rFonts w:asciiTheme="minorHAnsi" w:hAnsiTheme="minorHAnsi" w:cstheme="minorHAnsi"/>
        </w:rPr>
        <w:t>n</w:t>
      </w:r>
      <w:r w:rsidRPr="00EE361A">
        <w:rPr>
          <w:rFonts w:asciiTheme="minorHAnsi" w:hAnsiTheme="minorHAnsi" w:cstheme="minorHAnsi"/>
        </w:rPr>
        <w:t xml:space="preserve"> providing “updated knowledge and scientific documentation” (Ministry of Health official), while the government retained full decision-making authority. This institutional division explains why scientists appeared frequently as senders in online media yet remained subordinate to political leadership. It also accounts for their limited visibility in Facebook debates, where users primarily targeted the government as the main actor responsible for pandemic management.</w:t>
      </w:r>
    </w:p>
    <w:p w14:paraId="02C415A1" w14:textId="77777777" w:rsidR="0084529A" w:rsidRPr="00EE361A" w:rsidRDefault="0084529A" w:rsidP="0084529A">
      <w:pPr>
        <w:jc w:val="both"/>
        <w:rPr>
          <w:rFonts w:asciiTheme="minorHAnsi" w:hAnsiTheme="minorHAnsi" w:cstheme="minorHAnsi"/>
        </w:rPr>
      </w:pPr>
    </w:p>
    <w:p w14:paraId="377E7BDC" w14:textId="4999D0CB" w:rsidR="0084529A" w:rsidRPr="00EE361A" w:rsidRDefault="0084529A" w:rsidP="0084529A">
      <w:pPr>
        <w:jc w:val="both"/>
        <w:rPr>
          <w:rFonts w:asciiTheme="minorHAnsi" w:hAnsiTheme="minorHAnsi" w:cstheme="minorHAnsi"/>
          <w:i/>
          <w:iCs/>
        </w:rPr>
      </w:pPr>
      <w:r w:rsidRPr="00EE361A">
        <w:rPr>
          <w:rFonts w:asciiTheme="minorHAnsi" w:hAnsiTheme="minorHAnsi" w:cstheme="minorHAnsi"/>
        </w:rPr>
        <w:t>"It was our intention not to get involved in matters of a political nature. Our role was that of a scientific committee and it was our responsibility to present the data. It was up to the government to make the decisions. Consequently, each time our recommendations were accepted, the relevant gazettes were issued by the Ministry of Health"</w:t>
      </w:r>
      <w:r w:rsidR="008143FC" w:rsidRPr="00EE361A">
        <w:rPr>
          <w:rFonts w:asciiTheme="minorHAnsi" w:hAnsiTheme="minorHAnsi" w:cstheme="minorHAnsi"/>
        </w:rPr>
        <w:t xml:space="preserve"> </w:t>
      </w:r>
      <w:r w:rsidRPr="00EE361A">
        <w:rPr>
          <w:rFonts w:asciiTheme="minorHAnsi" w:hAnsiTheme="minorHAnsi" w:cstheme="minorHAnsi"/>
        </w:rPr>
        <w:t>(scientific committee member).</w:t>
      </w:r>
      <w:r w:rsidRPr="00EE361A">
        <w:rPr>
          <w:rFonts w:asciiTheme="minorHAnsi" w:hAnsiTheme="minorHAnsi" w:cstheme="minorHAnsi"/>
          <w:i/>
          <w:iCs/>
        </w:rPr>
        <w:t xml:space="preserve"> </w:t>
      </w:r>
    </w:p>
    <w:p w14:paraId="0A626D83" w14:textId="77777777" w:rsidR="0084529A" w:rsidRPr="00EE361A" w:rsidRDefault="0084529A" w:rsidP="0084529A">
      <w:pPr>
        <w:jc w:val="both"/>
        <w:rPr>
          <w:rFonts w:asciiTheme="minorHAnsi" w:hAnsiTheme="minorHAnsi" w:cstheme="minorHAnsi"/>
        </w:rPr>
      </w:pPr>
    </w:p>
    <w:p w14:paraId="63522B3C" w14:textId="31685CDF" w:rsidR="00DB579E" w:rsidRPr="00EE361A" w:rsidRDefault="0084529A" w:rsidP="0084529A">
      <w:pPr>
        <w:jc w:val="both"/>
        <w:rPr>
          <w:rFonts w:asciiTheme="minorHAnsi" w:hAnsiTheme="minorHAnsi" w:cstheme="minorHAnsi"/>
        </w:rPr>
      </w:pPr>
      <w:r w:rsidRPr="00EE361A">
        <w:rPr>
          <w:rFonts w:asciiTheme="minorHAnsi" w:hAnsiTheme="minorHAnsi" w:cstheme="minorHAnsi"/>
        </w:rPr>
        <w:t xml:space="preserve">Online </w:t>
      </w:r>
      <w:r w:rsidR="00692DA2" w:rsidRPr="00EE361A">
        <w:rPr>
          <w:rFonts w:asciiTheme="minorHAnsi" w:hAnsiTheme="minorHAnsi" w:cstheme="minorHAnsi"/>
        </w:rPr>
        <w:t xml:space="preserve">news </w:t>
      </w:r>
      <w:r w:rsidRPr="00EE361A">
        <w:rPr>
          <w:rFonts w:asciiTheme="minorHAnsi" w:hAnsiTheme="minorHAnsi" w:cstheme="minorHAnsi"/>
        </w:rPr>
        <w:t>media data reveal a discursive alliance between the state and scientists, exemplified by daily televised briefings that featured a government representative—usually from the Ministry of Health or Civil Protection—and a committee member, typically its president, Prof. Sotiris Tsiodras. This communication format projected narratives of trust and responsibility, reinforcing public cooperation during a period of acute uncertainty (Ministry of Health official). Interviewees noted that transparent reporting of pandemic management aimed to build credibility among a public historically sceptical toward institutions (Exadaktylos &amp; Chatzopoulou, 2021).</w:t>
      </w:r>
      <w:r w:rsidR="00DB579E" w:rsidRPr="00EE361A">
        <w:rPr>
          <w:rFonts w:asciiTheme="minorHAnsi" w:hAnsiTheme="minorHAnsi" w:cstheme="minorHAnsi"/>
        </w:rPr>
        <w:t xml:space="preserve"> Experts described themselves as public communicators tasked with providing clear, credible information to reduce fear, anxiety, and social isolation</w:t>
      </w:r>
      <w:r w:rsidR="00420397" w:rsidRPr="00EE361A">
        <w:rPr>
          <w:rFonts w:asciiTheme="minorHAnsi" w:hAnsiTheme="minorHAnsi" w:cstheme="minorHAnsi"/>
        </w:rPr>
        <w:t xml:space="preserve"> </w:t>
      </w:r>
      <w:r w:rsidR="00DB579E" w:rsidRPr="00EE361A">
        <w:rPr>
          <w:rFonts w:asciiTheme="minorHAnsi" w:hAnsiTheme="minorHAnsi" w:cstheme="minorHAnsi"/>
        </w:rPr>
        <w:t>(scientific committee member).</w:t>
      </w:r>
    </w:p>
    <w:p w14:paraId="657AC760" w14:textId="77777777" w:rsidR="0084529A" w:rsidRPr="00EE361A" w:rsidRDefault="0084529A" w:rsidP="0084529A">
      <w:pPr>
        <w:jc w:val="both"/>
        <w:rPr>
          <w:rFonts w:asciiTheme="minorHAnsi" w:hAnsiTheme="minorHAnsi" w:cstheme="minorHAnsi"/>
        </w:rPr>
      </w:pPr>
    </w:p>
    <w:p w14:paraId="323F8FCF" w14:textId="3C9E0772" w:rsidR="0084529A" w:rsidRPr="00EE361A" w:rsidRDefault="0084529A" w:rsidP="0084529A">
      <w:pPr>
        <w:jc w:val="both"/>
        <w:rPr>
          <w:rFonts w:asciiTheme="minorHAnsi" w:hAnsiTheme="minorHAnsi" w:cstheme="minorHAnsi"/>
        </w:rPr>
      </w:pPr>
      <w:r w:rsidRPr="00EE361A">
        <w:rPr>
          <w:rFonts w:asciiTheme="minorHAnsi" w:hAnsiTheme="minorHAnsi" w:cstheme="minorHAnsi"/>
        </w:rPr>
        <w:t>"At first, people were very scared at home. They had to learn. We saw the coffins in Italy and the trucks... you have to know what's happening in your country, what's happening around you. You have to know what the experts are saying" (Ministry of Health official).</w:t>
      </w:r>
    </w:p>
    <w:p w14:paraId="4B7CBB2F" w14:textId="77777777" w:rsidR="0084529A" w:rsidRPr="00EE361A" w:rsidRDefault="0084529A" w:rsidP="0084529A">
      <w:pPr>
        <w:jc w:val="both"/>
        <w:rPr>
          <w:rFonts w:asciiTheme="minorHAnsi" w:hAnsiTheme="minorHAnsi" w:cstheme="minorHAnsi"/>
        </w:rPr>
      </w:pPr>
    </w:p>
    <w:p w14:paraId="0B25E2C1" w14:textId="2DB31F59"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The participation of members of the Scientific Committee in media </w:t>
      </w:r>
      <w:r w:rsidR="00DB579E" w:rsidRPr="00EE361A">
        <w:rPr>
          <w:rFonts w:asciiTheme="minorHAnsi" w:hAnsiTheme="minorHAnsi" w:cstheme="minorHAnsi"/>
        </w:rPr>
        <w:t>co</w:t>
      </w:r>
      <w:r w:rsidR="006A5EEF" w:rsidRPr="00EE361A">
        <w:rPr>
          <w:rFonts w:asciiTheme="minorHAnsi" w:hAnsiTheme="minorHAnsi" w:cstheme="minorHAnsi"/>
        </w:rPr>
        <w:t>m</w:t>
      </w:r>
      <w:r w:rsidR="00DB579E" w:rsidRPr="00EE361A">
        <w:rPr>
          <w:rFonts w:asciiTheme="minorHAnsi" w:hAnsiTheme="minorHAnsi" w:cstheme="minorHAnsi"/>
        </w:rPr>
        <w:t xml:space="preserve">munication </w:t>
      </w:r>
      <w:r w:rsidRPr="00EE361A">
        <w:rPr>
          <w:rFonts w:asciiTheme="minorHAnsi" w:hAnsiTheme="minorHAnsi" w:cstheme="minorHAnsi"/>
        </w:rPr>
        <w:t xml:space="preserve">was seen as </w:t>
      </w:r>
      <w:r w:rsidR="00DB579E" w:rsidRPr="00EE361A">
        <w:rPr>
          <w:rFonts w:asciiTheme="minorHAnsi" w:hAnsiTheme="minorHAnsi" w:cstheme="minorHAnsi"/>
        </w:rPr>
        <w:t>essential for preventing</w:t>
      </w:r>
      <w:r w:rsidR="00DB579E" w:rsidRPr="00EE361A" w:rsidDel="00DB579E">
        <w:rPr>
          <w:rFonts w:asciiTheme="minorHAnsi" w:hAnsiTheme="minorHAnsi" w:cstheme="minorHAnsi"/>
        </w:rPr>
        <w:t xml:space="preserve"> </w:t>
      </w:r>
      <w:r w:rsidRPr="00EE361A">
        <w:rPr>
          <w:rFonts w:asciiTheme="minorHAnsi" w:hAnsiTheme="minorHAnsi" w:cstheme="minorHAnsi"/>
        </w:rPr>
        <w:t xml:space="preserve">confusion and misinformation. This proactive communication approach may explain </w:t>
      </w:r>
      <w:r w:rsidR="00DB579E" w:rsidRPr="00EE361A">
        <w:rPr>
          <w:rFonts w:asciiTheme="minorHAnsi" w:hAnsiTheme="minorHAnsi" w:cstheme="minorHAnsi"/>
        </w:rPr>
        <w:t>the low levels of contestation in the early phase</w:t>
      </w:r>
      <w:r w:rsidRPr="00EE361A">
        <w:rPr>
          <w:rFonts w:asciiTheme="minorHAnsi" w:hAnsiTheme="minorHAnsi" w:cstheme="minorHAnsi"/>
        </w:rPr>
        <w:t xml:space="preserve">, as observed in both </w:t>
      </w:r>
      <w:r w:rsidR="00776130" w:rsidRPr="00EE361A">
        <w:rPr>
          <w:rFonts w:asciiTheme="minorHAnsi" w:hAnsiTheme="minorHAnsi" w:cstheme="minorHAnsi"/>
        </w:rPr>
        <w:t xml:space="preserve">online news </w:t>
      </w:r>
      <w:r w:rsidRPr="00EE361A">
        <w:rPr>
          <w:rFonts w:asciiTheme="minorHAnsi" w:hAnsiTheme="minorHAnsi" w:cstheme="minorHAnsi"/>
        </w:rPr>
        <w:t>and social media.</w:t>
      </w:r>
    </w:p>
    <w:p w14:paraId="4778B013" w14:textId="77777777" w:rsidR="0084529A" w:rsidRPr="00EE361A" w:rsidRDefault="0084529A" w:rsidP="0084529A">
      <w:pPr>
        <w:jc w:val="both"/>
        <w:rPr>
          <w:rFonts w:asciiTheme="minorHAnsi" w:hAnsiTheme="minorHAnsi" w:cstheme="minorHAnsi"/>
        </w:rPr>
      </w:pPr>
    </w:p>
    <w:p w14:paraId="4A5D3751" w14:textId="527E4888"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Interviewees also described a broad political consensus between the government and opposition during the </w:t>
      </w:r>
      <w:r w:rsidR="00DB579E" w:rsidRPr="00EE361A">
        <w:rPr>
          <w:rFonts w:asciiTheme="minorHAnsi" w:hAnsiTheme="minorHAnsi" w:cstheme="minorHAnsi"/>
        </w:rPr>
        <w:t>early pandemic period</w:t>
      </w:r>
      <w:r w:rsidRPr="00EE361A">
        <w:rPr>
          <w:rFonts w:asciiTheme="minorHAnsi" w:hAnsiTheme="minorHAnsi" w:cstheme="minorHAnsi"/>
        </w:rPr>
        <w:t xml:space="preserve">, which </w:t>
      </w:r>
      <w:r w:rsidR="00DB579E" w:rsidRPr="00EE361A">
        <w:rPr>
          <w:rFonts w:asciiTheme="minorHAnsi" w:hAnsiTheme="minorHAnsi" w:cstheme="minorHAnsi"/>
        </w:rPr>
        <w:t>was</w:t>
      </w:r>
      <w:r w:rsidRPr="00EE361A">
        <w:rPr>
          <w:rFonts w:asciiTheme="minorHAnsi" w:hAnsiTheme="minorHAnsi" w:cstheme="minorHAnsi"/>
        </w:rPr>
        <w:t xml:space="preserve"> essential for maintaining public trust and cooperation. Party leaders publicly receiving their vaccinations symbolised this unity, “it was very important because they all showed a common stance on important issues,” noted one scientific committee member. This political alignment, supported by </w:t>
      </w:r>
      <w:r w:rsidR="002A5152" w:rsidRPr="00EE361A">
        <w:rPr>
          <w:rFonts w:asciiTheme="minorHAnsi" w:hAnsiTheme="minorHAnsi" w:cstheme="minorHAnsi"/>
        </w:rPr>
        <w:t xml:space="preserve">our </w:t>
      </w:r>
      <w:r w:rsidRPr="00EE361A">
        <w:rPr>
          <w:rFonts w:asciiTheme="minorHAnsi" w:hAnsiTheme="minorHAnsi" w:cstheme="minorHAnsi"/>
        </w:rPr>
        <w:t xml:space="preserve">quantitative findings showing low opposition activity in </w:t>
      </w:r>
      <w:r w:rsidR="00DB579E" w:rsidRPr="00EE361A">
        <w:rPr>
          <w:rFonts w:asciiTheme="minorHAnsi" w:hAnsiTheme="minorHAnsi" w:cstheme="minorHAnsi"/>
        </w:rPr>
        <w:t xml:space="preserve">online </w:t>
      </w:r>
      <w:r w:rsidR="00274D7F" w:rsidRPr="00EE361A">
        <w:rPr>
          <w:rFonts w:asciiTheme="minorHAnsi" w:hAnsiTheme="minorHAnsi" w:cstheme="minorHAnsi"/>
        </w:rPr>
        <w:t xml:space="preserve">news </w:t>
      </w:r>
      <w:r w:rsidRPr="00EE361A">
        <w:rPr>
          <w:rFonts w:asciiTheme="minorHAnsi" w:hAnsiTheme="minorHAnsi" w:cstheme="minorHAnsi"/>
        </w:rPr>
        <w:t xml:space="preserve">media, corresponds to the </w:t>
      </w:r>
      <w:r w:rsidR="00DB579E" w:rsidRPr="00EE361A">
        <w:rPr>
          <w:rFonts w:asciiTheme="minorHAnsi" w:hAnsiTheme="minorHAnsi" w:cstheme="minorHAnsi"/>
        </w:rPr>
        <w:t xml:space="preserve">initial </w:t>
      </w:r>
      <w:r w:rsidRPr="00EE361A">
        <w:rPr>
          <w:rFonts w:asciiTheme="minorHAnsi" w:hAnsiTheme="minorHAnsi" w:cstheme="minorHAnsi"/>
        </w:rPr>
        <w:t xml:space="preserve">“rally-round-the-flag” phase. </w:t>
      </w:r>
      <w:r w:rsidR="0023622B" w:rsidRPr="00EE361A">
        <w:rPr>
          <w:rFonts w:asciiTheme="minorHAnsi" w:hAnsiTheme="minorHAnsi" w:cstheme="minorHAnsi"/>
        </w:rPr>
        <w:t>However, as the pandemic progressed</w:t>
      </w:r>
      <w:r w:rsidR="00E47932" w:rsidRPr="00EE361A">
        <w:rPr>
          <w:rFonts w:asciiTheme="minorHAnsi" w:hAnsiTheme="minorHAnsi" w:cstheme="minorHAnsi"/>
        </w:rPr>
        <w:t>,</w:t>
      </w:r>
      <w:r w:rsidR="000D6E01" w:rsidRPr="00EE361A">
        <w:rPr>
          <w:rFonts w:asciiTheme="minorHAnsi" w:hAnsiTheme="minorHAnsi" w:cstheme="minorHAnsi"/>
          <w:lang w:val="en-US"/>
        </w:rPr>
        <w:t xml:space="preserve"> </w:t>
      </w:r>
      <w:r w:rsidR="0023622B" w:rsidRPr="00EE361A">
        <w:rPr>
          <w:rFonts w:asciiTheme="minorHAnsi" w:hAnsiTheme="minorHAnsi" w:cstheme="minorHAnsi"/>
        </w:rPr>
        <w:t>this consensus gradually eroded, giving way to increasing political contention</w:t>
      </w:r>
      <w:r w:rsidR="00E47932" w:rsidRPr="00EE361A">
        <w:rPr>
          <w:rFonts w:asciiTheme="minorHAnsi" w:hAnsiTheme="minorHAnsi" w:cstheme="minorHAnsi"/>
        </w:rPr>
        <w:t xml:space="preserve">, as also reflected in our </w:t>
      </w:r>
      <w:r w:rsidR="00DB19F2" w:rsidRPr="00EE361A">
        <w:rPr>
          <w:rFonts w:asciiTheme="minorHAnsi" w:hAnsiTheme="minorHAnsi" w:cstheme="minorHAnsi"/>
        </w:rPr>
        <w:t>previous findings</w:t>
      </w:r>
      <w:r w:rsidR="0023622B" w:rsidRPr="00EE361A">
        <w:rPr>
          <w:rFonts w:asciiTheme="minorHAnsi" w:hAnsiTheme="minorHAnsi" w:cstheme="minorHAnsi"/>
        </w:rPr>
        <w:t>. As a former Ministry of Health official explained</w:t>
      </w:r>
      <w:r w:rsidR="00420397" w:rsidRPr="00EE361A">
        <w:rPr>
          <w:rFonts w:asciiTheme="minorHAnsi" w:hAnsiTheme="minorHAnsi" w:cstheme="minorHAnsi"/>
        </w:rPr>
        <w:t>:</w:t>
      </w:r>
    </w:p>
    <w:p w14:paraId="25D77946" w14:textId="77777777" w:rsidR="00DB19F2" w:rsidRPr="00EE361A" w:rsidRDefault="00DB19F2" w:rsidP="0084529A">
      <w:pPr>
        <w:jc w:val="both"/>
        <w:rPr>
          <w:rFonts w:asciiTheme="minorHAnsi" w:hAnsiTheme="minorHAnsi" w:cstheme="minorHAnsi"/>
        </w:rPr>
      </w:pPr>
    </w:p>
    <w:p w14:paraId="752009CC" w14:textId="7DBF100B" w:rsidR="0084529A" w:rsidRPr="00EE361A" w:rsidRDefault="0084529A" w:rsidP="0084529A">
      <w:pPr>
        <w:jc w:val="both"/>
        <w:rPr>
          <w:rFonts w:asciiTheme="minorHAnsi" w:hAnsiTheme="minorHAnsi" w:cstheme="minorHAnsi"/>
        </w:rPr>
      </w:pPr>
      <w:r w:rsidRPr="00EE361A">
        <w:rPr>
          <w:rFonts w:asciiTheme="minorHAnsi" w:hAnsiTheme="minorHAnsi" w:cstheme="minorHAnsi"/>
        </w:rPr>
        <w:t>"In general, there was a lack of contention, especially on the big issues, but there were disagreements on some very specific issues. Particularly from the second wave onwards, there was a political backlash - for example, over whether people should die outside intensive care units... In my view, the level of consensus was not as strong as I would have expected...".</w:t>
      </w:r>
    </w:p>
    <w:p w14:paraId="6924BC1C" w14:textId="77777777" w:rsidR="0084529A" w:rsidRPr="00EE361A" w:rsidRDefault="0084529A" w:rsidP="0084529A">
      <w:pPr>
        <w:jc w:val="both"/>
        <w:rPr>
          <w:rFonts w:asciiTheme="minorHAnsi" w:hAnsiTheme="minorHAnsi" w:cstheme="minorHAnsi"/>
        </w:rPr>
      </w:pPr>
    </w:p>
    <w:p w14:paraId="415178AE" w14:textId="23BC085B"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The Facebook comment analysis further illustrates this shift: social media became the main arena of contestation, where misinformation, conspiracy narratives, and anti-vaccination rhetoric spread rapidly. </w:t>
      </w:r>
      <w:r w:rsidR="0023622B" w:rsidRPr="00EE361A">
        <w:rPr>
          <w:rFonts w:asciiTheme="minorHAnsi" w:hAnsiTheme="minorHAnsi" w:cstheme="minorHAnsi"/>
        </w:rPr>
        <w:t>Interviewees</w:t>
      </w:r>
      <w:r w:rsidRPr="00EE361A">
        <w:rPr>
          <w:rFonts w:asciiTheme="minorHAnsi" w:hAnsiTheme="minorHAnsi" w:cstheme="minorHAnsi"/>
        </w:rPr>
        <w:t xml:space="preserve"> noticed </w:t>
      </w:r>
      <w:r w:rsidR="0023622B" w:rsidRPr="00EE361A">
        <w:rPr>
          <w:rFonts w:asciiTheme="minorHAnsi" w:hAnsiTheme="minorHAnsi" w:cstheme="minorHAnsi"/>
        </w:rPr>
        <w:t>that state authorities invested little in social-media communication, leaving a vacuum in which alternative narratives circulated unchecked</w:t>
      </w:r>
      <w:r w:rsidRPr="00EE361A">
        <w:rPr>
          <w:rFonts w:asciiTheme="minorHAnsi" w:hAnsiTheme="minorHAnsi" w:cstheme="minorHAnsi"/>
        </w:rPr>
        <w:t xml:space="preserve">. </w:t>
      </w:r>
      <w:r w:rsidR="0023622B" w:rsidRPr="00EE361A">
        <w:rPr>
          <w:rFonts w:asciiTheme="minorHAnsi" w:hAnsiTheme="minorHAnsi" w:cstheme="minorHAnsi"/>
        </w:rPr>
        <w:t xml:space="preserve">Also, </w:t>
      </w:r>
      <w:r w:rsidR="007D367D" w:rsidRPr="00EE361A">
        <w:rPr>
          <w:rFonts w:asciiTheme="minorHAnsi" w:hAnsiTheme="minorHAnsi" w:cstheme="minorHAnsi"/>
        </w:rPr>
        <w:t xml:space="preserve">they </w:t>
      </w:r>
      <w:r w:rsidRPr="00EE361A">
        <w:rPr>
          <w:rFonts w:asciiTheme="minorHAnsi" w:hAnsiTheme="minorHAnsi" w:cstheme="minorHAnsi"/>
        </w:rPr>
        <w:t xml:space="preserve">highlighted that social media wielded greater influence than traditional television, creating an environment largely beyond institutional control. </w:t>
      </w:r>
      <w:r w:rsidR="0023622B" w:rsidRPr="00EE361A">
        <w:rPr>
          <w:rFonts w:asciiTheme="minorHAnsi" w:hAnsiTheme="minorHAnsi" w:cstheme="minorHAnsi"/>
        </w:rPr>
        <w:t>This loss of communicative control marks a transition toward the rebellion scenario, with decentralised contestation emerging from below.</w:t>
      </w:r>
    </w:p>
    <w:p w14:paraId="6D8F8460" w14:textId="77777777" w:rsidR="0084529A" w:rsidRPr="00EE361A" w:rsidRDefault="0084529A" w:rsidP="0084529A">
      <w:pPr>
        <w:jc w:val="both"/>
        <w:rPr>
          <w:rFonts w:asciiTheme="minorHAnsi" w:hAnsiTheme="minorHAnsi" w:cstheme="minorHAnsi"/>
        </w:rPr>
      </w:pPr>
    </w:p>
    <w:p w14:paraId="35D6368F" w14:textId="12D89235" w:rsidR="0084529A" w:rsidRPr="00EE361A" w:rsidRDefault="0084529A" w:rsidP="0084529A">
      <w:pPr>
        <w:jc w:val="both"/>
        <w:rPr>
          <w:rFonts w:asciiTheme="minorHAnsi" w:hAnsiTheme="minorHAnsi" w:cstheme="minorHAnsi"/>
        </w:rPr>
      </w:pPr>
      <w:r w:rsidRPr="00EE361A">
        <w:rPr>
          <w:rFonts w:asciiTheme="minorHAnsi" w:hAnsiTheme="minorHAnsi" w:cstheme="minorHAnsi"/>
        </w:rPr>
        <w:t xml:space="preserve">Vaccination dominated both the online </w:t>
      </w:r>
      <w:r w:rsidR="0070369C" w:rsidRPr="00EE361A">
        <w:rPr>
          <w:rFonts w:asciiTheme="minorHAnsi" w:hAnsiTheme="minorHAnsi" w:cstheme="minorHAnsi"/>
        </w:rPr>
        <w:t xml:space="preserve">news </w:t>
      </w:r>
      <w:r w:rsidRPr="00EE361A">
        <w:rPr>
          <w:rFonts w:asciiTheme="minorHAnsi" w:hAnsiTheme="minorHAnsi" w:cstheme="minorHAnsi"/>
        </w:rPr>
        <w:t xml:space="preserve">media and social-media agendas but was framed in sharply different ways. </w:t>
      </w:r>
      <w:r w:rsidR="00FA3A3F" w:rsidRPr="00EE361A">
        <w:rPr>
          <w:rFonts w:asciiTheme="minorHAnsi" w:hAnsiTheme="minorHAnsi" w:cstheme="minorHAnsi"/>
        </w:rPr>
        <w:t xml:space="preserve">Within </w:t>
      </w:r>
      <w:r w:rsidRPr="00EE361A">
        <w:rPr>
          <w:rFonts w:asciiTheme="minorHAnsi" w:hAnsiTheme="minorHAnsi" w:cstheme="minorHAnsi"/>
        </w:rPr>
        <w:t xml:space="preserve">institutional communication, it symbolised collective responsibility and scientific progress. On </w:t>
      </w:r>
      <w:r w:rsidR="00FA3A3F" w:rsidRPr="00EE361A">
        <w:rPr>
          <w:rFonts w:asciiTheme="minorHAnsi" w:hAnsiTheme="minorHAnsi" w:cstheme="minorHAnsi"/>
        </w:rPr>
        <w:t>Facebook</w:t>
      </w:r>
      <w:r w:rsidRPr="00EE361A">
        <w:rPr>
          <w:rFonts w:asciiTheme="minorHAnsi" w:hAnsiTheme="minorHAnsi" w:cstheme="minorHAnsi"/>
        </w:rPr>
        <w:t xml:space="preserve">, however, it became a site of contestation, linked to anti-establishment discourse, conspiracy theories, and religious rhetoric. Interviewees attributed resistance partly to conservative clerics and fringe parties that sought to exploit public fatigue and uncertainty. As one scientific committee member noted, “we have at least two such parties in the Greek Parliament that use inflammatory rhetoric to attract votes.” Respondents </w:t>
      </w:r>
      <w:r w:rsidR="00FA3A3F" w:rsidRPr="00EE361A">
        <w:rPr>
          <w:rFonts w:asciiTheme="minorHAnsi" w:hAnsiTheme="minorHAnsi" w:cstheme="minorHAnsi"/>
        </w:rPr>
        <w:t>noted historical and cultural roots of vaccine scepticism in Greece</w:t>
      </w:r>
      <w:r w:rsidRPr="00EE361A">
        <w:rPr>
          <w:rFonts w:asciiTheme="minorHAnsi" w:hAnsiTheme="minorHAnsi" w:cstheme="minorHAnsi"/>
        </w:rPr>
        <w:t>, reinforced by elements within the Greek Orthodox Church. While the Church’s leadership “behaved responsibly,” certain clergy were accused</w:t>
      </w:r>
      <w:r w:rsidR="00CE0BFA" w:rsidRPr="00EE361A">
        <w:rPr>
          <w:rFonts w:asciiTheme="minorHAnsi" w:hAnsiTheme="minorHAnsi" w:cstheme="minorHAnsi"/>
        </w:rPr>
        <w:t xml:space="preserve"> by our interviewees</w:t>
      </w:r>
      <w:r w:rsidRPr="00EE361A">
        <w:rPr>
          <w:rFonts w:asciiTheme="minorHAnsi" w:hAnsiTheme="minorHAnsi" w:cstheme="minorHAnsi"/>
        </w:rPr>
        <w:t xml:space="preserve"> of </w:t>
      </w:r>
      <w:r w:rsidR="00FA3A3F" w:rsidRPr="00EE361A">
        <w:rPr>
          <w:rFonts w:asciiTheme="minorHAnsi" w:hAnsiTheme="minorHAnsi" w:cstheme="minorHAnsi"/>
        </w:rPr>
        <w:t>undermining compliance to preserve religious authority</w:t>
      </w:r>
      <w:r w:rsidRPr="00EE361A">
        <w:rPr>
          <w:rFonts w:asciiTheme="minorHAnsi" w:hAnsiTheme="minorHAnsi" w:cstheme="minorHAnsi"/>
        </w:rPr>
        <w:t>.</w:t>
      </w:r>
    </w:p>
    <w:p w14:paraId="75F7E423" w14:textId="77777777" w:rsidR="0084529A" w:rsidRPr="00EE361A" w:rsidRDefault="0084529A" w:rsidP="0084529A">
      <w:pPr>
        <w:jc w:val="both"/>
        <w:rPr>
          <w:rFonts w:asciiTheme="minorHAnsi" w:hAnsiTheme="minorHAnsi" w:cstheme="minorHAnsi"/>
        </w:rPr>
      </w:pPr>
    </w:p>
    <w:p w14:paraId="3EA7B5C5" w14:textId="41026781" w:rsidR="003628FB" w:rsidRPr="00EE361A" w:rsidRDefault="0084529A" w:rsidP="0084529A">
      <w:pPr>
        <w:jc w:val="both"/>
        <w:rPr>
          <w:rFonts w:asciiTheme="minorHAnsi" w:hAnsiTheme="minorHAnsi" w:cstheme="minorHAnsi"/>
        </w:rPr>
      </w:pPr>
      <w:r w:rsidRPr="00EE361A">
        <w:rPr>
          <w:rFonts w:asciiTheme="minorHAnsi" w:hAnsiTheme="minorHAnsi" w:cstheme="minorHAnsi"/>
        </w:rPr>
        <w:lastRenderedPageBreak/>
        <w:t xml:space="preserve">The paternalistic and pedagogical tone adopted by authorities and scientists, widely reflected in online </w:t>
      </w:r>
      <w:r w:rsidR="00517389" w:rsidRPr="00EE361A">
        <w:rPr>
          <w:rFonts w:asciiTheme="minorHAnsi" w:hAnsiTheme="minorHAnsi" w:cstheme="minorHAnsi"/>
        </w:rPr>
        <w:t xml:space="preserve">news </w:t>
      </w:r>
      <w:r w:rsidRPr="00EE361A">
        <w:rPr>
          <w:rFonts w:asciiTheme="minorHAnsi" w:hAnsiTheme="minorHAnsi" w:cstheme="minorHAnsi"/>
        </w:rPr>
        <w:t>media, drew mixed reactions from respondents</w:t>
      </w:r>
      <w:r w:rsidR="00420397" w:rsidRPr="00EE361A">
        <w:rPr>
          <w:rFonts w:asciiTheme="minorHAnsi" w:hAnsiTheme="minorHAnsi" w:cstheme="minorHAnsi"/>
        </w:rPr>
        <w:t>.</w:t>
      </w:r>
      <w:r w:rsidRPr="00EE361A">
        <w:rPr>
          <w:rFonts w:asciiTheme="minorHAnsi" w:hAnsiTheme="minorHAnsi" w:cstheme="minorHAnsi"/>
        </w:rPr>
        <w:t xml:space="preserve"> </w:t>
      </w:r>
      <w:r w:rsidR="00FA3A3F" w:rsidRPr="00EE361A">
        <w:rPr>
          <w:rFonts w:asciiTheme="minorHAnsi" w:hAnsiTheme="minorHAnsi" w:cstheme="minorHAnsi"/>
        </w:rPr>
        <w:t>Several experts stressed the need for more participatory communication</w:t>
      </w:r>
      <w:r w:rsidRPr="00EE361A">
        <w:rPr>
          <w:rFonts w:asciiTheme="minorHAnsi" w:hAnsiTheme="minorHAnsi" w:cstheme="minorHAnsi"/>
        </w:rPr>
        <w:t xml:space="preserve"> and broader social cooperation. </w:t>
      </w:r>
      <w:r w:rsidR="003628FB" w:rsidRPr="00EE361A">
        <w:rPr>
          <w:rFonts w:asciiTheme="minorHAnsi" w:hAnsiTheme="minorHAnsi" w:cstheme="minorHAnsi"/>
        </w:rPr>
        <w:t xml:space="preserve">A committee member framed effective crisis management in a liberal democracy as a shared civic duty, in which individual responsibility derives from collective responsibility and requires citizens’ temporary acceptance of restrictions to protect public health. </w:t>
      </w:r>
    </w:p>
    <w:p w14:paraId="17BE34B2" w14:textId="77777777" w:rsidR="00517389" w:rsidRPr="00EE361A" w:rsidRDefault="00517389" w:rsidP="0084529A">
      <w:pPr>
        <w:jc w:val="both"/>
        <w:rPr>
          <w:rFonts w:asciiTheme="minorHAnsi" w:hAnsiTheme="minorHAnsi" w:cstheme="minorHAnsi"/>
        </w:rPr>
      </w:pPr>
    </w:p>
    <w:p w14:paraId="6479A415" w14:textId="03EAEDD8" w:rsidR="0084529A" w:rsidRPr="00EE361A" w:rsidRDefault="0084529A" w:rsidP="0084529A">
      <w:pPr>
        <w:jc w:val="both"/>
        <w:rPr>
          <w:rFonts w:asciiTheme="minorHAnsi" w:hAnsiTheme="minorHAnsi" w:cstheme="minorHAnsi"/>
        </w:rPr>
      </w:pPr>
      <w:r w:rsidRPr="00EE361A">
        <w:rPr>
          <w:rFonts w:asciiTheme="minorHAnsi" w:hAnsiTheme="minorHAnsi" w:cstheme="minorHAnsi"/>
        </w:rPr>
        <w:t>.</w:t>
      </w:r>
    </w:p>
    <w:p w14:paraId="0C4BF7D8" w14:textId="77777777" w:rsidR="0084529A" w:rsidRPr="00EE361A" w:rsidRDefault="0084529A" w:rsidP="009247F0"/>
    <w:p w14:paraId="7C68AD6F" w14:textId="77777777" w:rsidR="00BB402F" w:rsidRPr="00EE361A" w:rsidRDefault="00BB402F" w:rsidP="00BB402F">
      <w:pPr>
        <w:pStyle w:val="Titolo1"/>
      </w:pPr>
      <w:r w:rsidRPr="00EE361A">
        <w:t>Discussion</w:t>
      </w:r>
    </w:p>
    <w:p w14:paraId="4087A5BD" w14:textId="1968DE60" w:rsidR="00CA0742" w:rsidRPr="00EE361A" w:rsidRDefault="00621DA5" w:rsidP="00FC1B20">
      <w:pPr>
        <w:pStyle w:val="NormaleWeb"/>
        <w:jc w:val="both"/>
        <w:rPr>
          <w:rFonts w:ascii="-webkit-standard" w:hAnsi="-webkit-standard"/>
          <w:color w:val="000000"/>
          <w:sz w:val="22"/>
          <w:szCs w:val="22"/>
        </w:rPr>
      </w:pPr>
      <w:r w:rsidRPr="00EE361A">
        <w:rPr>
          <w:rFonts w:asciiTheme="minorHAnsi" w:hAnsiTheme="minorHAnsi"/>
        </w:rPr>
        <w:t xml:space="preserve">Locating the Greek case in a broader </w:t>
      </w:r>
      <w:r w:rsidR="005E52A8" w:rsidRPr="00EE361A">
        <w:rPr>
          <w:rFonts w:asciiTheme="minorHAnsi" w:hAnsiTheme="minorHAnsi"/>
        </w:rPr>
        <w:t>historical</w:t>
      </w:r>
      <w:r w:rsidRPr="00EE361A">
        <w:rPr>
          <w:rFonts w:asciiTheme="minorHAnsi" w:hAnsiTheme="minorHAnsi"/>
        </w:rPr>
        <w:t xml:space="preserve"> context of </w:t>
      </w:r>
      <w:r w:rsidR="005E52A8" w:rsidRPr="00EE361A">
        <w:rPr>
          <w:rFonts w:asciiTheme="minorHAnsi" w:hAnsiTheme="minorHAnsi"/>
        </w:rPr>
        <w:t xml:space="preserve">crisis </w:t>
      </w:r>
      <w:r w:rsidR="00D25062" w:rsidRPr="00EE361A">
        <w:rPr>
          <w:rFonts w:asciiTheme="minorHAnsi" w:hAnsiTheme="minorHAnsi"/>
        </w:rPr>
        <w:t xml:space="preserve">management </w:t>
      </w:r>
      <w:r w:rsidRPr="00EE361A">
        <w:rPr>
          <w:rFonts w:asciiTheme="minorHAnsi" w:hAnsiTheme="minorHAnsi"/>
        </w:rPr>
        <w:t>and public contestation</w:t>
      </w:r>
      <w:r w:rsidR="005E52A8" w:rsidRPr="00EE361A">
        <w:rPr>
          <w:rFonts w:asciiTheme="minorHAnsi" w:hAnsiTheme="minorHAnsi"/>
        </w:rPr>
        <w:t xml:space="preserve">, our findings point to </w:t>
      </w:r>
      <w:r w:rsidR="0000590F" w:rsidRPr="00EE361A">
        <w:rPr>
          <w:rFonts w:asciiTheme="minorHAnsi" w:hAnsiTheme="minorHAnsi"/>
        </w:rPr>
        <w:t xml:space="preserve">a systematic reconfiguration </w:t>
      </w:r>
      <w:r w:rsidR="005E52A8" w:rsidRPr="00EE361A">
        <w:rPr>
          <w:rFonts w:asciiTheme="minorHAnsi" w:hAnsiTheme="minorHAnsi"/>
        </w:rPr>
        <w:t xml:space="preserve">in the </w:t>
      </w:r>
      <w:r w:rsidR="00D25062" w:rsidRPr="00EE361A">
        <w:rPr>
          <w:rFonts w:asciiTheme="minorHAnsi" w:hAnsiTheme="minorHAnsi"/>
        </w:rPr>
        <w:t xml:space="preserve">patterns of </w:t>
      </w:r>
      <w:r w:rsidR="005E52A8" w:rsidRPr="00EE361A">
        <w:rPr>
          <w:rFonts w:asciiTheme="minorHAnsi" w:hAnsiTheme="minorHAnsi"/>
        </w:rPr>
        <w:t xml:space="preserve">public </w:t>
      </w:r>
      <w:r w:rsidR="00D25062" w:rsidRPr="00EE361A">
        <w:rPr>
          <w:rFonts w:asciiTheme="minorHAnsi" w:hAnsiTheme="minorHAnsi"/>
        </w:rPr>
        <w:t xml:space="preserve">support </w:t>
      </w:r>
      <w:r w:rsidR="005E52A8" w:rsidRPr="00EE361A">
        <w:rPr>
          <w:rFonts w:asciiTheme="minorHAnsi" w:hAnsiTheme="minorHAnsi"/>
        </w:rPr>
        <w:t xml:space="preserve">and </w:t>
      </w:r>
      <w:r w:rsidR="00D25062" w:rsidRPr="00EE361A">
        <w:rPr>
          <w:rFonts w:asciiTheme="minorHAnsi" w:hAnsiTheme="minorHAnsi"/>
        </w:rPr>
        <w:t xml:space="preserve">criticism </w:t>
      </w:r>
      <w:r w:rsidR="005E52A8" w:rsidRPr="00EE361A">
        <w:rPr>
          <w:rFonts w:asciiTheme="minorHAnsi" w:hAnsiTheme="minorHAnsi"/>
        </w:rPr>
        <w:t>as channe</w:t>
      </w:r>
      <w:r w:rsidR="0000590F" w:rsidRPr="00EE361A">
        <w:rPr>
          <w:rFonts w:asciiTheme="minorHAnsi" w:hAnsiTheme="minorHAnsi"/>
        </w:rPr>
        <w:t>l</w:t>
      </w:r>
      <w:r w:rsidR="005E52A8" w:rsidRPr="00EE361A">
        <w:rPr>
          <w:rFonts w:asciiTheme="minorHAnsi" w:hAnsiTheme="minorHAnsi"/>
        </w:rPr>
        <w:t xml:space="preserve">led through </w:t>
      </w:r>
      <w:r w:rsidR="0000590F" w:rsidRPr="00EE361A">
        <w:rPr>
          <w:rFonts w:asciiTheme="minorHAnsi" w:hAnsiTheme="minorHAnsi"/>
        </w:rPr>
        <w:t xml:space="preserve">online </w:t>
      </w:r>
      <w:r w:rsidR="005E52A8" w:rsidRPr="00EE361A">
        <w:rPr>
          <w:rFonts w:asciiTheme="minorHAnsi" w:hAnsiTheme="minorHAnsi"/>
        </w:rPr>
        <w:t xml:space="preserve">news media and </w:t>
      </w:r>
      <w:r w:rsidR="00D25062" w:rsidRPr="00EE361A">
        <w:rPr>
          <w:rFonts w:asciiTheme="minorHAnsi" w:hAnsiTheme="minorHAnsi"/>
        </w:rPr>
        <w:t>social media</w:t>
      </w:r>
      <w:r w:rsidR="005E52A8" w:rsidRPr="00EE361A">
        <w:rPr>
          <w:rFonts w:asciiTheme="minorHAnsi" w:hAnsiTheme="minorHAnsi"/>
        </w:rPr>
        <w:t>. In a country where trust in government and media has traditionally been low, periods of crisis have been accompanied by significant social unrest.</w:t>
      </w:r>
      <w:r w:rsidR="0051444E" w:rsidRPr="00EE361A">
        <w:rPr>
          <w:rFonts w:asciiTheme="minorHAnsi" w:hAnsiTheme="minorHAnsi"/>
        </w:rPr>
        <w:t xml:space="preserve"> In line with this tradition, we </w:t>
      </w:r>
      <w:r w:rsidR="0000590F" w:rsidRPr="00EE361A">
        <w:rPr>
          <w:rFonts w:asciiTheme="minorHAnsi" w:hAnsiTheme="minorHAnsi"/>
        </w:rPr>
        <w:t xml:space="preserve">initially </w:t>
      </w:r>
      <w:r w:rsidR="0051444E" w:rsidRPr="00EE361A">
        <w:rPr>
          <w:rFonts w:asciiTheme="minorHAnsi" w:hAnsiTheme="minorHAnsi"/>
        </w:rPr>
        <w:t>anticipated a rebellion scenario</w:t>
      </w:r>
      <w:r w:rsidR="0000590F" w:rsidRPr="00EE361A">
        <w:rPr>
          <w:rFonts w:asciiTheme="minorHAnsi" w:hAnsiTheme="minorHAnsi"/>
        </w:rPr>
        <w:t>,</w:t>
      </w:r>
      <w:r w:rsidR="0051444E" w:rsidRPr="00EE361A">
        <w:rPr>
          <w:rFonts w:asciiTheme="minorHAnsi" w:hAnsiTheme="minorHAnsi"/>
        </w:rPr>
        <w:t xml:space="preserve"> </w:t>
      </w:r>
      <w:r w:rsidR="0000590F" w:rsidRPr="00EE361A">
        <w:rPr>
          <w:rFonts w:asciiTheme="minorHAnsi" w:hAnsiTheme="minorHAnsi"/>
        </w:rPr>
        <w:t>in which governmental</w:t>
      </w:r>
      <w:r w:rsidR="0051444E" w:rsidRPr="00EE361A">
        <w:rPr>
          <w:rFonts w:asciiTheme="minorHAnsi" w:hAnsiTheme="minorHAnsi"/>
        </w:rPr>
        <w:t xml:space="preserve"> management would be fiercely opposed by </w:t>
      </w:r>
      <w:r w:rsidR="0000590F" w:rsidRPr="00EE361A">
        <w:rPr>
          <w:rFonts w:asciiTheme="minorHAnsi" w:hAnsiTheme="minorHAnsi"/>
        </w:rPr>
        <w:t xml:space="preserve">political </w:t>
      </w:r>
      <w:r w:rsidR="0051444E" w:rsidRPr="00EE361A">
        <w:rPr>
          <w:rFonts w:asciiTheme="minorHAnsi" w:hAnsiTheme="minorHAnsi"/>
        </w:rPr>
        <w:t xml:space="preserve">parties and emerging protest </w:t>
      </w:r>
      <w:r w:rsidR="008B3010" w:rsidRPr="00EE361A">
        <w:rPr>
          <w:rFonts w:asciiTheme="minorHAnsi" w:hAnsiTheme="minorHAnsi"/>
        </w:rPr>
        <w:t>mobilisation</w:t>
      </w:r>
      <w:r w:rsidR="0051444E" w:rsidRPr="00EE361A">
        <w:rPr>
          <w:rFonts w:asciiTheme="minorHAnsi" w:hAnsiTheme="minorHAnsi"/>
        </w:rPr>
        <w:t xml:space="preserve">. At the same time, </w:t>
      </w:r>
      <w:r w:rsidR="008B3010" w:rsidRPr="00EE361A">
        <w:rPr>
          <w:rFonts w:asciiTheme="minorHAnsi" w:hAnsiTheme="minorHAnsi"/>
        </w:rPr>
        <w:t xml:space="preserve">the </w:t>
      </w:r>
      <w:r w:rsidR="0000590F" w:rsidRPr="00EE361A">
        <w:rPr>
          <w:rFonts w:asciiTheme="minorHAnsi" w:hAnsiTheme="minorHAnsi"/>
        </w:rPr>
        <w:t xml:space="preserve">pandemic </w:t>
      </w:r>
      <w:r w:rsidR="0051444E" w:rsidRPr="00EE361A">
        <w:rPr>
          <w:rFonts w:asciiTheme="minorHAnsi" w:hAnsiTheme="minorHAnsi"/>
        </w:rPr>
        <w:t xml:space="preserve">response, </w:t>
      </w:r>
      <w:r w:rsidR="0000590F" w:rsidRPr="00EE361A">
        <w:rPr>
          <w:rFonts w:asciiTheme="minorHAnsi" w:hAnsiTheme="minorHAnsi"/>
        </w:rPr>
        <w:t xml:space="preserve">marked by a government’s investment </w:t>
      </w:r>
      <w:r w:rsidR="0051444E" w:rsidRPr="00EE361A">
        <w:rPr>
          <w:rFonts w:asciiTheme="minorHAnsi" w:hAnsiTheme="minorHAnsi"/>
        </w:rPr>
        <w:t xml:space="preserve">in public communication and </w:t>
      </w:r>
      <w:r w:rsidR="0000590F" w:rsidRPr="00EE361A">
        <w:rPr>
          <w:rFonts w:asciiTheme="minorHAnsi" w:hAnsiTheme="minorHAnsi"/>
        </w:rPr>
        <w:t xml:space="preserve">the formation of </w:t>
      </w:r>
      <w:r w:rsidR="0051444E" w:rsidRPr="00EE361A">
        <w:rPr>
          <w:rFonts w:asciiTheme="minorHAnsi" w:hAnsiTheme="minorHAnsi"/>
        </w:rPr>
        <w:t>an alliance with scientific experts and journalists</w:t>
      </w:r>
      <w:r w:rsidR="00076A30" w:rsidRPr="00EE361A">
        <w:rPr>
          <w:rFonts w:asciiTheme="minorHAnsi" w:hAnsiTheme="minorHAnsi"/>
        </w:rPr>
        <w:t xml:space="preserve">, </w:t>
      </w:r>
      <w:r w:rsidR="00D877B2" w:rsidRPr="00EE361A">
        <w:rPr>
          <w:rFonts w:asciiTheme="minorHAnsi" w:hAnsiTheme="minorHAnsi"/>
        </w:rPr>
        <w:t xml:space="preserve">opened up the possibility of </w:t>
      </w:r>
      <w:r w:rsidR="0000590F" w:rsidRPr="00EE361A">
        <w:rPr>
          <w:rFonts w:asciiTheme="minorHAnsi" w:hAnsiTheme="minorHAnsi"/>
        </w:rPr>
        <w:t>a paternalistic</w:t>
      </w:r>
      <w:r w:rsidR="00D877B2" w:rsidRPr="00EE361A">
        <w:rPr>
          <w:rFonts w:asciiTheme="minorHAnsi" w:hAnsiTheme="minorHAnsi"/>
        </w:rPr>
        <w:t xml:space="preserve"> 'rally-round-the-flag' scenario, which would reaffirm the government's authority. </w:t>
      </w:r>
    </w:p>
    <w:p w14:paraId="630A9235" w14:textId="3EC65F1A" w:rsidR="00F0001A" w:rsidRPr="00EE361A" w:rsidRDefault="005725A9" w:rsidP="00F0001A">
      <w:pPr>
        <w:pStyle w:val="NormaleWeb"/>
        <w:jc w:val="both"/>
        <w:rPr>
          <w:rFonts w:asciiTheme="minorHAnsi" w:hAnsiTheme="minorHAnsi"/>
        </w:rPr>
      </w:pPr>
      <w:r w:rsidRPr="00EE361A">
        <w:rPr>
          <w:rFonts w:asciiTheme="minorHAnsi" w:hAnsiTheme="minorHAnsi"/>
        </w:rPr>
        <w:t xml:space="preserve">At the outset of the pandemic, Greece entered a new crisis mode. </w:t>
      </w:r>
      <w:r w:rsidR="00CA0742" w:rsidRPr="00EE361A">
        <w:rPr>
          <w:rFonts w:asciiTheme="minorHAnsi" w:hAnsiTheme="minorHAnsi"/>
        </w:rPr>
        <w:t>Initially</w:t>
      </w:r>
      <w:r w:rsidRPr="00EE361A">
        <w:rPr>
          <w:rFonts w:asciiTheme="minorHAnsi" w:hAnsiTheme="minorHAnsi"/>
        </w:rPr>
        <w:t xml:space="preserve">, this resembled previous experiences of economic constraints, unemployment and state incapacity. However, the government demonstrated an unexpected capacity </w:t>
      </w:r>
      <w:r w:rsidR="00CA0742" w:rsidRPr="00EE361A">
        <w:rPr>
          <w:rFonts w:asciiTheme="minorHAnsi" w:hAnsiTheme="minorHAnsi"/>
        </w:rPr>
        <w:t>to set</w:t>
      </w:r>
      <w:r w:rsidRPr="00EE361A">
        <w:rPr>
          <w:rFonts w:asciiTheme="minorHAnsi" w:hAnsiTheme="minorHAnsi"/>
        </w:rPr>
        <w:t xml:space="preserve"> the public agenda, fostering </w:t>
      </w:r>
      <w:r w:rsidR="00CA0742" w:rsidRPr="00EE361A">
        <w:rPr>
          <w:rFonts w:asciiTheme="minorHAnsi" w:hAnsiTheme="minorHAnsi"/>
        </w:rPr>
        <w:t>temporary</w:t>
      </w:r>
      <w:r w:rsidRPr="00EE361A">
        <w:rPr>
          <w:rFonts w:asciiTheme="minorHAnsi" w:hAnsiTheme="minorHAnsi"/>
        </w:rPr>
        <w:t xml:space="preserve"> unity through rather paternalistic communication strategies</w:t>
      </w:r>
      <w:r w:rsidR="004B4C8D" w:rsidRPr="00EE361A">
        <w:rPr>
          <w:rFonts w:asciiTheme="minorHAnsi" w:hAnsiTheme="minorHAnsi"/>
        </w:rPr>
        <w:t>.</w:t>
      </w:r>
      <w:r w:rsidR="00D25062" w:rsidRPr="00EE361A">
        <w:rPr>
          <w:rFonts w:asciiTheme="minorHAnsi" w:hAnsiTheme="minorHAnsi"/>
        </w:rPr>
        <w:t xml:space="preserve"> During this </w:t>
      </w:r>
      <w:r w:rsidR="00CA0742" w:rsidRPr="00EE361A">
        <w:rPr>
          <w:rFonts w:asciiTheme="minorHAnsi" w:hAnsiTheme="minorHAnsi"/>
        </w:rPr>
        <w:t>phase</w:t>
      </w:r>
      <w:r w:rsidR="00D25062" w:rsidRPr="00EE361A">
        <w:rPr>
          <w:rFonts w:asciiTheme="minorHAnsi" w:hAnsiTheme="minorHAnsi"/>
        </w:rPr>
        <w:t xml:space="preserve">, state actors and scientists dominated the </w:t>
      </w:r>
      <w:r w:rsidR="00CA0742" w:rsidRPr="00EE361A">
        <w:rPr>
          <w:rFonts w:asciiTheme="minorHAnsi" w:hAnsiTheme="minorHAnsi"/>
        </w:rPr>
        <w:t>media discourse</w:t>
      </w:r>
      <w:r w:rsidR="00D25062" w:rsidRPr="00EE361A">
        <w:rPr>
          <w:rFonts w:asciiTheme="minorHAnsi" w:hAnsiTheme="minorHAnsi"/>
        </w:rPr>
        <w:t xml:space="preserve">, addressing Greek society in a pedagogical way, prioritizing the logic of individual responsibility and </w:t>
      </w:r>
      <w:r w:rsidR="00CA0742" w:rsidRPr="00EE361A">
        <w:rPr>
          <w:rFonts w:asciiTheme="minorHAnsi" w:hAnsiTheme="minorHAnsi"/>
        </w:rPr>
        <w:t>compliance.</w:t>
      </w:r>
      <w:r w:rsidR="00D25062" w:rsidRPr="00EE361A">
        <w:rPr>
          <w:rFonts w:asciiTheme="minorHAnsi" w:hAnsiTheme="minorHAnsi"/>
        </w:rPr>
        <w:t xml:space="preserve"> Disagreement or contestation from political, economic, or societal actors remained limited. Qualitative data </w:t>
      </w:r>
      <w:r w:rsidR="00CA0742" w:rsidRPr="00EE361A">
        <w:rPr>
          <w:rFonts w:asciiTheme="minorHAnsi" w:hAnsiTheme="minorHAnsi"/>
        </w:rPr>
        <w:t xml:space="preserve">further </w:t>
      </w:r>
      <w:r w:rsidR="00D25062" w:rsidRPr="00EE361A">
        <w:rPr>
          <w:rFonts w:asciiTheme="minorHAnsi" w:hAnsiTheme="minorHAnsi"/>
        </w:rPr>
        <w:t xml:space="preserve">confirm that the joint appearance </w:t>
      </w:r>
      <w:r w:rsidR="00CA0742" w:rsidRPr="00EE361A">
        <w:rPr>
          <w:rFonts w:asciiTheme="minorHAnsi" w:hAnsiTheme="minorHAnsi"/>
        </w:rPr>
        <w:t xml:space="preserve">of scientific committee members and government representatives </w:t>
      </w:r>
      <w:r w:rsidR="00D25062" w:rsidRPr="00EE361A">
        <w:rPr>
          <w:rFonts w:asciiTheme="minorHAnsi" w:hAnsiTheme="minorHAnsi"/>
        </w:rPr>
        <w:t xml:space="preserve">in daily briefings fostered trust and cooperation. </w:t>
      </w:r>
      <w:r w:rsidRPr="00EE361A">
        <w:rPr>
          <w:rFonts w:asciiTheme="minorHAnsi" w:hAnsiTheme="minorHAnsi"/>
        </w:rPr>
        <w:t xml:space="preserve">These pieces of evidence </w:t>
      </w:r>
      <w:r w:rsidR="00FC1B20" w:rsidRPr="00EE361A">
        <w:rPr>
          <w:rFonts w:asciiTheme="minorHAnsi" w:hAnsiTheme="minorHAnsi"/>
        </w:rPr>
        <w:t>indicate</w:t>
      </w:r>
      <w:r w:rsidRPr="00EE361A">
        <w:rPr>
          <w:rFonts w:asciiTheme="minorHAnsi" w:hAnsiTheme="minorHAnsi"/>
        </w:rPr>
        <w:t xml:space="preserve"> that the government's communication strategy was largely successful in ensuring </w:t>
      </w:r>
      <w:r w:rsidR="00FC1B20" w:rsidRPr="00EE361A">
        <w:rPr>
          <w:rFonts w:asciiTheme="minorHAnsi" w:hAnsiTheme="minorHAnsi"/>
        </w:rPr>
        <w:t xml:space="preserve">short-term </w:t>
      </w:r>
      <w:r w:rsidRPr="00EE361A">
        <w:rPr>
          <w:rFonts w:asciiTheme="minorHAnsi" w:hAnsiTheme="minorHAnsi"/>
        </w:rPr>
        <w:t>trust and acquiescence, while keeping levels of contestation low.</w:t>
      </w:r>
    </w:p>
    <w:p w14:paraId="1D3B24B9" w14:textId="1136ADA5" w:rsidR="00F0001A" w:rsidRPr="00EE361A" w:rsidRDefault="005725A9" w:rsidP="00F0001A">
      <w:pPr>
        <w:pStyle w:val="NormaleWeb"/>
        <w:jc w:val="both"/>
        <w:rPr>
          <w:rFonts w:asciiTheme="minorHAnsi" w:hAnsiTheme="minorHAnsi"/>
        </w:rPr>
      </w:pPr>
      <w:r w:rsidRPr="00EE361A">
        <w:rPr>
          <w:rFonts w:asciiTheme="minorHAnsi" w:hAnsiTheme="minorHAnsi"/>
        </w:rPr>
        <w:t xml:space="preserve">However, as the pandemic evolved, </w:t>
      </w:r>
      <w:r w:rsidR="00FC1B20" w:rsidRPr="00EE361A">
        <w:rPr>
          <w:rFonts w:asciiTheme="minorHAnsi" w:hAnsiTheme="minorHAnsi"/>
        </w:rPr>
        <w:t>this communication pattern became increasingly fragile</w:t>
      </w:r>
      <w:r w:rsidRPr="00EE361A">
        <w:rPr>
          <w:rFonts w:asciiTheme="minorHAnsi" w:hAnsiTheme="minorHAnsi"/>
        </w:rPr>
        <w:t xml:space="preserve">. Data from political claims analysis </w:t>
      </w:r>
      <w:r w:rsidR="00FC1B20" w:rsidRPr="00EE361A">
        <w:rPr>
          <w:rFonts w:asciiTheme="minorHAnsi" w:hAnsiTheme="minorHAnsi"/>
        </w:rPr>
        <w:t xml:space="preserve">reveal </w:t>
      </w:r>
      <w:r w:rsidRPr="00EE361A">
        <w:rPr>
          <w:rFonts w:asciiTheme="minorHAnsi" w:hAnsiTheme="minorHAnsi"/>
        </w:rPr>
        <w:t xml:space="preserve">an increase in contestation directed at state actors. </w:t>
      </w:r>
      <w:r w:rsidR="00AC7E37" w:rsidRPr="00EE361A">
        <w:rPr>
          <w:rFonts w:asciiTheme="minorHAnsi" w:hAnsiTheme="minorHAnsi"/>
        </w:rPr>
        <w:t>Similarly,</w:t>
      </w:r>
      <w:r w:rsidR="00D25062" w:rsidRPr="00EE361A">
        <w:rPr>
          <w:rFonts w:asciiTheme="minorHAnsi" w:hAnsiTheme="minorHAnsi"/>
        </w:rPr>
        <w:t xml:space="preserve"> Facebook </w:t>
      </w:r>
      <w:r w:rsidR="00AC7E37" w:rsidRPr="00EE361A">
        <w:rPr>
          <w:rFonts w:asciiTheme="minorHAnsi" w:hAnsiTheme="minorHAnsi"/>
        </w:rPr>
        <w:t>data</w:t>
      </w:r>
      <w:r w:rsidR="00D25062" w:rsidRPr="00EE361A">
        <w:rPr>
          <w:rFonts w:asciiTheme="minorHAnsi" w:hAnsiTheme="minorHAnsi"/>
        </w:rPr>
        <w:t xml:space="preserve"> </w:t>
      </w:r>
      <w:r w:rsidR="00FC1B20" w:rsidRPr="00EE361A">
        <w:rPr>
          <w:rFonts w:asciiTheme="minorHAnsi" w:hAnsiTheme="minorHAnsi"/>
        </w:rPr>
        <w:t>point to growing</w:t>
      </w:r>
      <w:r w:rsidR="00D25062" w:rsidRPr="00EE361A">
        <w:rPr>
          <w:rFonts w:asciiTheme="minorHAnsi" w:hAnsiTheme="minorHAnsi"/>
        </w:rPr>
        <w:t xml:space="preserve"> polarization, as users shifted their criticism from the government to other citizens. This </w:t>
      </w:r>
      <w:r w:rsidR="00FC1B20" w:rsidRPr="00EE361A">
        <w:rPr>
          <w:rFonts w:asciiTheme="minorHAnsi" w:hAnsiTheme="minorHAnsi"/>
        </w:rPr>
        <w:t xml:space="preserve">pattern </w:t>
      </w:r>
      <w:r w:rsidR="00D25062" w:rsidRPr="00EE361A">
        <w:rPr>
          <w:rFonts w:asciiTheme="minorHAnsi" w:hAnsiTheme="minorHAnsi"/>
        </w:rPr>
        <w:t xml:space="preserve">clearly supports the rebellion scenario, marked by fragmented discussion and the </w:t>
      </w:r>
      <w:r w:rsidR="00FA1A3B" w:rsidRPr="00EE361A">
        <w:rPr>
          <w:rFonts w:asciiTheme="minorHAnsi" w:hAnsiTheme="minorHAnsi"/>
        </w:rPr>
        <w:t xml:space="preserve">rise </w:t>
      </w:r>
      <w:r w:rsidR="00D25062" w:rsidRPr="00EE361A">
        <w:rPr>
          <w:rFonts w:asciiTheme="minorHAnsi" w:hAnsiTheme="minorHAnsi"/>
        </w:rPr>
        <w:t>of alternative</w:t>
      </w:r>
      <w:r w:rsidR="00AC7E37" w:rsidRPr="00EE361A">
        <w:rPr>
          <w:rFonts w:asciiTheme="minorHAnsi" w:hAnsiTheme="minorHAnsi"/>
        </w:rPr>
        <w:t xml:space="preserve"> </w:t>
      </w:r>
      <w:r w:rsidR="00D25062" w:rsidRPr="00EE361A">
        <w:rPr>
          <w:rFonts w:asciiTheme="minorHAnsi" w:hAnsiTheme="minorHAnsi"/>
        </w:rPr>
        <w:t>narratives</w:t>
      </w:r>
      <w:r w:rsidRPr="00EE361A">
        <w:rPr>
          <w:rFonts w:asciiTheme="minorHAnsi" w:hAnsiTheme="minorHAnsi"/>
        </w:rPr>
        <w:t xml:space="preserve"> in opposition to government and science</w:t>
      </w:r>
      <w:r w:rsidR="00D25062" w:rsidRPr="00EE361A">
        <w:rPr>
          <w:rFonts w:asciiTheme="minorHAnsi" w:hAnsiTheme="minorHAnsi"/>
        </w:rPr>
        <w:t xml:space="preserve">. </w:t>
      </w:r>
      <w:r w:rsidRPr="00EE361A">
        <w:rPr>
          <w:rFonts w:asciiTheme="minorHAnsi" w:hAnsiTheme="minorHAnsi"/>
        </w:rPr>
        <w:t xml:space="preserve">This is also explained by the government's and scientists' inability to engage with social media, as confirmed by communication </w:t>
      </w:r>
      <w:r w:rsidRPr="00EE361A">
        <w:rPr>
          <w:rFonts w:asciiTheme="minorHAnsi" w:hAnsiTheme="minorHAnsi"/>
        </w:rPr>
        <w:lastRenderedPageBreak/>
        <w:t xml:space="preserve">specialists in our interviews. </w:t>
      </w:r>
      <w:r w:rsidR="003277F4" w:rsidRPr="00EE361A">
        <w:rPr>
          <w:rFonts w:asciiTheme="minorHAnsi" w:hAnsiTheme="minorHAnsi"/>
        </w:rPr>
        <w:t xml:space="preserve">The </w:t>
      </w:r>
      <w:r w:rsidR="00D25062" w:rsidRPr="00EE361A">
        <w:rPr>
          <w:rFonts w:asciiTheme="minorHAnsi" w:hAnsiTheme="minorHAnsi"/>
        </w:rPr>
        <w:t>social media</w:t>
      </w:r>
      <w:r w:rsidR="003277F4" w:rsidRPr="00EE361A">
        <w:rPr>
          <w:rFonts w:asciiTheme="minorHAnsi" w:hAnsiTheme="minorHAnsi"/>
        </w:rPr>
        <w:t xml:space="preserve"> sphere could therefore </w:t>
      </w:r>
      <w:r w:rsidR="00FC1B20" w:rsidRPr="00EE361A">
        <w:rPr>
          <w:rFonts w:asciiTheme="minorHAnsi" w:hAnsiTheme="minorHAnsi"/>
        </w:rPr>
        <w:t xml:space="preserve">be </w:t>
      </w:r>
      <w:r w:rsidR="003277F4" w:rsidRPr="00EE361A">
        <w:rPr>
          <w:rFonts w:asciiTheme="minorHAnsi" w:hAnsiTheme="minorHAnsi"/>
        </w:rPr>
        <w:t xml:space="preserve">easily occupied by </w:t>
      </w:r>
      <w:r w:rsidR="00D25062" w:rsidRPr="00EE361A">
        <w:rPr>
          <w:rFonts w:asciiTheme="minorHAnsi" w:hAnsiTheme="minorHAnsi"/>
        </w:rPr>
        <w:t>extreme voices and conspiracy theorists. Consequently, contestation expanded but remained diffuse</w:t>
      </w:r>
      <w:r w:rsidR="003277F4" w:rsidRPr="00EE361A">
        <w:rPr>
          <w:rFonts w:asciiTheme="minorHAnsi" w:hAnsiTheme="minorHAnsi"/>
        </w:rPr>
        <w:t>, fragmented and individualised</w:t>
      </w:r>
      <w:r w:rsidR="00D25062" w:rsidRPr="00EE361A">
        <w:rPr>
          <w:rFonts w:asciiTheme="minorHAnsi" w:hAnsiTheme="minorHAnsi"/>
        </w:rPr>
        <w:t>, without major collective events.</w:t>
      </w:r>
    </w:p>
    <w:p w14:paraId="19A15661" w14:textId="686572BD" w:rsidR="00D25062" w:rsidRPr="00EE361A" w:rsidRDefault="00D25062" w:rsidP="00F0001A">
      <w:pPr>
        <w:pStyle w:val="NormaleWeb"/>
        <w:jc w:val="both"/>
        <w:rPr>
          <w:rFonts w:asciiTheme="minorHAnsi" w:hAnsiTheme="minorHAnsi"/>
        </w:rPr>
      </w:pPr>
      <w:r w:rsidRPr="00EE361A">
        <w:rPr>
          <w:rFonts w:asciiTheme="minorHAnsi" w:hAnsiTheme="minorHAnsi"/>
        </w:rPr>
        <w:t xml:space="preserve">These results suggest that the apparent stability of early crisis </w:t>
      </w:r>
      <w:r w:rsidR="00F0001A" w:rsidRPr="00EE361A">
        <w:rPr>
          <w:rFonts w:asciiTheme="minorHAnsi" w:hAnsiTheme="minorHAnsi"/>
        </w:rPr>
        <w:t xml:space="preserve">management </w:t>
      </w:r>
      <w:r w:rsidRPr="00EE361A">
        <w:rPr>
          <w:rFonts w:asciiTheme="minorHAnsi" w:hAnsiTheme="minorHAnsi"/>
        </w:rPr>
        <w:t xml:space="preserve">was sustained </w:t>
      </w:r>
      <w:r w:rsidR="00F0001A" w:rsidRPr="00EE361A">
        <w:rPr>
          <w:rFonts w:asciiTheme="minorHAnsi" w:hAnsiTheme="minorHAnsi"/>
        </w:rPr>
        <w:t xml:space="preserve">less </w:t>
      </w:r>
      <w:r w:rsidRPr="00EE361A">
        <w:rPr>
          <w:rFonts w:asciiTheme="minorHAnsi" w:hAnsiTheme="minorHAnsi"/>
        </w:rPr>
        <w:t xml:space="preserve">through </w:t>
      </w:r>
      <w:r w:rsidR="00F0001A" w:rsidRPr="00EE361A">
        <w:rPr>
          <w:rFonts w:asciiTheme="minorHAnsi" w:hAnsiTheme="minorHAnsi"/>
        </w:rPr>
        <w:t xml:space="preserve">compliance than through </w:t>
      </w:r>
      <w:r w:rsidRPr="00EE361A">
        <w:rPr>
          <w:rFonts w:asciiTheme="minorHAnsi" w:hAnsiTheme="minorHAnsi"/>
        </w:rPr>
        <w:t xml:space="preserve">discursive control. Once message coherence loosened, diverse voices re-entered the debate, exposing tensions between centralised authority and decentralised digital </w:t>
      </w:r>
      <w:r w:rsidR="00743F3C" w:rsidRPr="00EE361A">
        <w:rPr>
          <w:rFonts w:asciiTheme="minorHAnsi" w:hAnsiTheme="minorHAnsi"/>
        </w:rPr>
        <w:t>contestation</w:t>
      </w:r>
      <w:r w:rsidRPr="00EE361A">
        <w:rPr>
          <w:rFonts w:asciiTheme="minorHAnsi" w:hAnsiTheme="minorHAnsi"/>
        </w:rPr>
        <w:t xml:space="preserve">. The mixed-methods design clarifies this progression: the claims analysis identified </w:t>
      </w:r>
      <w:r w:rsidR="00743F3C" w:rsidRPr="00EE361A">
        <w:rPr>
          <w:rFonts w:asciiTheme="minorHAnsi" w:hAnsiTheme="minorHAnsi"/>
        </w:rPr>
        <w:t xml:space="preserve">the </w:t>
      </w:r>
      <w:r w:rsidRPr="00EE361A">
        <w:rPr>
          <w:rFonts w:asciiTheme="minorHAnsi" w:hAnsiTheme="minorHAnsi"/>
        </w:rPr>
        <w:t>dominan</w:t>
      </w:r>
      <w:r w:rsidR="00743F3C" w:rsidRPr="00EE361A">
        <w:rPr>
          <w:rFonts w:asciiTheme="minorHAnsi" w:hAnsiTheme="minorHAnsi"/>
        </w:rPr>
        <w:t>ce of state actors and scientists in online news</w:t>
      </w:r>
      <w:r w:rsidRPr="00EE361A">
        <w:rPr>
          <w:rFonts w:asciiTheme="minorHAnsi" w:hAnsiTheme="minorHAnsi"/>
        </w:rPr>
        <w:t xml:space="preserve">, Facebook comments captured how </w:t>
      </w:r>
      <w:r w:rsidR="00743F3C" w:rsidRPr="00EE361A">
        <w:rPr>
          <w:rFonts w:asciiTheme="minorHAnsi" w:hAnsiTheme="minorHAnsi"/>
        </w:rPr>
        <w:t xml:space="preserve">the </w:t>
      </w:r>
      <w:r w:rsidRPr="00EE361A">
        <w:rPr>
          <w:rFonts w:asciiTheme="minorHAnsi" w:hAnsiTheme="minorHAnsi"/>
        </w:rPr>
        <w:t xml:space="preserve">debate </w:t>
      </w:r>
      <w:r w:rsidR="00743F3C" w:rsidRPr="00EE361A">
        <w:rPr>
          <w:rFonts w:asciiTheme="minorHAnsi" w:hAnsiTheme="minorHAnsi"/>
        </w:rPr>
        <w:t>polarized through bottom-up voice</w:t>
      </w:r>
      <w:r w:rsidR="00FA1A3B" w:rsidRPr="00EE361A">
        <w:rPr>
          <w:rFonts w:asciiTheme="minorHAnsi" w:hAnsiTheme="minorHAnsi"/>
        </w:rPr>
        <w:t>s</w:t>
      </w:r>
      <w:r w:rsidR="00743F3C" w:rsidRPr="00EE361A">
        <w:rPr>
          <w:rFonts w:asciiTheme="minorHAnsi" w:hAnsiTheme="minorHAnsi"/>
        </w:rPr>
        <w:t xml:space="preserve"> </w:t>
      </w:r>
      <w:r w:rsidR="00FA1A3B" w:rsidRPr="00EE361A">
        <w:rPr>
          <w:rFonts w:asciiTheme="minorHAnsi" w:hAnsiTheme="minorHAnsi"/>
        </w:rPr>
        <w:t xml:space="preserve">of </w:t>
      </w:r>
      <w:r w:rsidR="00743F3C" w:rsidRPr="00EE361A">
        <w:rPr>
          <w:rFonts w:asciiTheme="minorHAnsi" w:hAnsiTheme="minorHAnsi"/>
        </w:rPr>
        <w:t>resistance</w:t>
      </w:r>
      <w:r w:rsidRPr="00EE361A">
        <w:rPr>
          <w:rFonts w:asciiTheme="minorHAnsi" w:hAnsiTheme="minorHAnsi"/>
        </w:rPr>
        <w:t xml:space="preserve">, and </w:t>
      </w:r>
      <w:r w:rsidR="00743F3C" w:rsidRPr="00EE361A">
        <w:rPr>
          <w:rFonts w:asciiTheme="minorHAnsi" w:hAnsiTheme="minorHAnsi"/>
        </w:rPr>
        <w:t xml:space="preserve">the </w:t>
      </w:r>
      <w:r w:rsidRPr="00EE361A">
        <w:rPr>
          <w:rFonts w:asciiTheme="minorHAnsi" w:hAnsiTheme="minorHAnsi"/>
        </w:rPr>
        <w:t>interviews explained how institutional communicators</w:t>
      </w:r>
      <w:r w:rsidR="00F0001A" w:rsidRPr="00EE361A">
        <w:rPr>
          <w:rFonts w:asciiTheme="minorHAnsi" w:hAnsiTheme="minorHAnsi"/>
        </w:rPr>
        <w:t>,</w:t>
      </w:r>
      <w:r w:rsidRPr="00EE361A">
        <w:rPr>
          <w:rFonts w:asciiTheme="minorHAnsi" w:hAnsiTheme="minorHAnsi"/>
        </w:rPr>
        <w:t xml:space="preserve"> </w:t>
      </w:r>
      <w:r w:rsidR="00743F3C" w:rsidRPr="00EE361A">
        <w:rPr>
          <w:rFonts w:asciiTheme="minorHAnsi" w:hAnsiTheme="minorHAnsi"/>
        </w:rPr>
        <w:t xml:space="preserve">despite substantial </w:t>
      </w:r>
      <w:r w:rsidR="00F0001A" w:rsidRPr="00EE361A">
        <w:rPr>
          <w:rFonts w:asciiTheme="minorHAnsi" w:hAnsiTheme="minorHAnsi"/>
        </w:rPr>
        <w:t>coordination,</w:t>
      </w:r>
      <w:r w:rsidR="00743F3C" w:rsidRPr="00EE361A">
        <w:rPr>
          <w:rFonts w:asciiTheme="minorHAnsi" w:hAnsiTheme="minorHAnsi"/>
        </w:rPr>
        <w:t xml:space="preserve"> gradually lost control over the debate</w:t>
      </w:r>
      <w:r w:rsidRPr="00EE361A">
        <w:rPr>
          <w:rFonts w:asciiTheme="minorHAnsi" w:hAnsiTheme="minorHAnsi"/>
        </w:rPr>
        <w:t>.</w:t>
      </w:r>
    </w:p>
    <w:p w14:paraId="439243BC" w14:textId="65557491" w:rsidR="004E6227" w:rsidRPr="00EE361A" w:rsidRDefault="00FE28F6" w:rsidP="004E6227">
      <w:pPr>
        <w:jc w:val="both"/>
        <w:rPr>
          <w:rFonts w:asciiTheme="minorHAnsi" w:hAnsiTheme="minorHAnsi" w:cstheme="minorHAnsi"/>
        </w:rPr>
      </w:pPr>
      <w:r w:rsidRPr="00EE361A">
        <w:rPr>
          <w:rFonts w:asciiTheme="minorHAnsi" w:hAnsiTheme="minorHAnsi" w:cstheme="minorHAnsi"/>
        </w:rPr>
        <w:t xml:space="preserve">The Greek experience </w:t>
      </w:r>
      <w:r w:rsidR="00F0001A" w:rsidRPr="00EE361A">
        <w:rPr>
          <w:rFonts w:asciiTheme="minorHAnsi" w:hAnsiTheme="minorHAnsi" w:cstheme="minorHAnsi"/>
        </w:rPr>
        <w:t>therefor</w:t>
      </w:r>
      <w:r w:rsidR="00FA1A3B" w:rsidRPr="00EE361A">
        <w:rPr>
          <w:rFonts w:asciiTheme="minorHAnsi" w:hAnsiTheme="minorHAnsi" w:cstheme="minorHAnsi"/>
        </w:rPr>
        <w:t>e</w:t>
      </w:r>
      <w:r w:rsidR="00F0001A" w:rsidRPr="00EE361A">
        <w:rPr>
          <w:rFonts w:asciiTheme="minorHAnsi" w:hAnsiTheme="minorHAnsi" w:cstheme="minorHAnsi"/>
        </w:rPr>
        <w:t xml:space="preserve"> makes </w:t>
      </w:r>
      <w:r w:rsidR="008C5EED" w:rsidRPr="00EE361A">
        <w:rPr>
          <w:rFonts w:asciiTheme="minorHAnsi" w:hAnsiTheme="minorHAnsi" w:cstheme="minorHAnsi"/>
        </w:rPr>
        <w:t xml:space="preserve">a substantive contribution to scholarship on crisis governance and democratic legitimacy as it </w:t>
      </w:r>
      <w:r w:rsidRPr="00EE361A">
        <w:rPr>
          <w:rFonts w:asciiTheme="minorHAnsi" w:hAnsiTheme="minorHAnsi" w:cstheme="minorHAnsi"/>
        </w:rPr>
        <w:t xml:space="preserve">challenges the assumption that societal resistance is inevitable during times of crisis, even in a highly polarised society. It shows that trust in state authority can be </w:t>
      </w:r>
      <w:r w:rsidR="008C5EED" w:rsidRPr="00EE361A">
        <w:rPr>
          <w:rFonts w:asciiTheme="minorHAnsi" w:hAnsiTheme="minorHAnsi" w:cstheme="minorHAnsi"/>
        </w:rPr>
        <w:t>temporar</w:t>
      </w:r>
      <w:r w:rsidR="00FA1A3B" w:rsidRPr="00EE361A">
        <w:rPr>
          <w:rFonts w:asciiTheme="minorHAnsi" w:hAnsiTheme="minorHAnsi" w:cstheme="minorHAnsi"/>
        </w:rPr>
        <w:t>il</w:t>
      </w:r>
      <w:r w:rsidR="008C5EED" w:rsidRPr="00EE361A">
        <w:rPr>
          <w:rFonts w:asciiTheme="minorHAnsi" w:hAnsiTheme="minorHAnsi" w:cstheme="minorHAnsi"/>
        </w:rPr>
        <w:t xml:space="preserve">y reconstructed, </w:t>
      </w:r>
      <w:r w:rsidRPr="00EE361A">
        <w:rPr>
          <w:rFonts w:asciiTheme="minorHAnsi" w:hAnsiTheme="minorHAnsi" w:cstheme="minorHAnsi"/>
        </w:rPr>
        <w:t>through coordinated communication strategies and credible engagement with experts</w:t>
      </w:r>
      <w:r w:rsidR="008C5EED" w:rsidRPr="00EE361A">
        <w:rPr>
          <w:rFonts w:asciiTheme="minorHAnsi" w:hAnsiTheme="minorHAnsi" w:cstheme="minorHAnsi"/>
        </w:rPr>
        <w:t>, even in high polarized societies</w:t>
      </w:r>
      <w:r w:rsidRPr="00EE361A">
        <w:rPr>
          <w:rFonts w:asciiTheme="minorHAnsi" w:hAnsiTheme="minorHAnsi" w:cstheme="minorHAnsi"/>
        </w:rPr>
        <w:t xml:space="preserve">. However, the resilience of that trust </w:t>
      </w:r>
      <w:r w:rsidR="004D1881" w:rsidRPr="00EE361A">
        <w:rPr>
          <w:rFonts w:asciiTheme="minorHAnsi" w:hAnsiTheme="minorHAnsi" w:cstheme="minorHAnsi"/>
        </w:rPr>
        <w:t xml:space="preserve">in Greece </w:t>
      </w:r>
      <w:r w:rsidRPr="00EE361A">
        <w:rPr>
          <w:rFonts w:asciiTheme="minorHAnsi" w:hAnsiTheme="minorHAnsi" w:cstheme="minorHAnsi"/>
        </w:rPr>
        <w:t xml:space="preserve">was later tested by the spread of digital disinformation and the </w:t>
      </w:r>
      <w:r w:rsidR="008C5EED" w:rsidRPr="00EE361A">
        <w:rPr>
          <w:rFonts w:asciiTheme="minorHAnsi" w:hAnsiTheme="minorHAnsi" w:cstheme="minorHAnsi"/>
        </w:rPr>
        <w:t xml:space="preserve">absence </w:t>
      </w:r>
      <w:r w:rsidRPr="00EE361A">
        <w:rPr>
          <w:rFonts w:asciiTheme="minorHAnsi" w:hAnsiTheme="minorHAnsi" w:cstheme="minorHAnsi"/>
        </w:rPr>
        <w:t xml:space="preserve">of institutional response to it. The contrast between the broad consensus achieved during the pandemic and the </w:t>
      </w:r>
      <w:r w:rsidR="008C5EED" w:rsidRPr="00EE361A">
        <w:rPr>
          <w:rFonts w:asciiTheme="minorHAnsi" w:hAnsiTheme="minorHAnsi" w:cstheme="minorHAnsi"/>
        </w:rPr>
        <w:t xml:space="preserve">contestation </w:t>
      </w:r>
      <w:r w:rsidRPr="00EE361A">
        <w:rPr>
          <w:rFonts w:asciiTheme="minorHAnsi" w:hAnsiTheme="minorHAnsi" w:cstheme="minorHAnsi"/>
        </w:rPr>
        <w:t xml:space="preserve">seen in </w:t>
      </w:r>
      <w:r w:rsidR="008C5EED" w:rsidRPr="00EE361A">
        <w:rPr>
          <w:rFonts w:asciiTheme="minorHAnsi" w:hAnsiTheme="minorHAnsi" w:cstheme="minorHAnsi"/>
        </w:rPr>
        <w:t xml:space="preserve">previous </w:t>
      </w:r>
      <w:r w:rsidRPr="00EE361A">
        <w:rPr>
          <w:rFonts w:asciiTheme="minorHAnsi" w:hAnsiTheme="minorHAnsi" w:cstheme="minorHAnsi"/>
        </w:rPr>
        <w:t>Greek crises highlights the need for proactive, transparent, and sustained public engagement to uphold legitimacy.</w:t>
      </w:r>
    </w:p>
    <w:p w14:paraId="0F056E0B" w14:textId="77777777" w:rsidR="00DA3DA2" w:rsidRPr="00EE361A" w:rsidRDefault="00DA3DA2" w:rsidP="004E6227">
      <w:pPr>
        <w:jc w:val="both"/>
        <w:rPr>
          <w:rFonts w:asciiTheme="minorHAnsi" w:hAnsiTheme="minorHAnsi" w:cstheme="minorHAnsi"/>
        </w:rPr>
      </w:pPr>
    </w:p>
    <w:p w14:paraId="36F8959B" w14:textId="1B0A94DC" w:rsidR="00280061" w:rsidRPr="00EE361A" w:rsidRDefault="00BC39C1" w:rsidP="004E6227">
      <w:pPr>
        <w:jc w:val="both"/>
        <w:rPr>
          <w:rFonts w:asciiTheme="minorHAnsi" w:hAnsiTheme="minorHAnsi"/>
        </w:rPr>
      </w:pPr>
      <w:r w:rsidRPr="00EE361A">
        <w:rPr>
          <w:rFonts w:asciiTheme="minorHAnsi" w:hAnsiTheme="minorHAnsi"/>
        </w:rPr>
        <w:t xml:space="preserve">From a comparative European perspective, Greece appears less </w:t>
      </w:r>
      <w:r w:rsidR="008C5EED" w:rsidRPr="00EE361A">
        <w:rPr>
          <w:rFonts w:asciiTheme="minorHAnsi" w:hAnsiTheme="minorHAnsi"/>
        </w:rPr>
        <w:t xml:space="preserve">exceptional </w:t>
      </w:r>
      <w:r w:rsidRPr="00EE361A">
        <w:rPr>
          <w:rFonts w:asciiTheme="minorHAnsi" w:hAnsiTheme="minorHAnsi"/>
        </w:rPr>
        <w:t xml:space="preserve">than expected given its history of enduring crises. The sequence from the rally-round-the-flag effect in the early period of the pandemic to the enhanced politicisation of crisis governance in later periods confirms a general </w:t>
      </w:r>
      <w:r w:rsidR="008C5EED" w:rsidRPr="00EE361A">
        <w:rPr>
          <w:rFonts w:asciiTheme="minorHAnsi" w:hAnsiTheme="minorHAnsi"/>
        </w:rPr>
        <w:t xml:space="preserve">European </w:t>
      </w:r>
      <w:r w:rsidR="00FA1A3B" w:rsidRPr="00EE361A">
        <w:rPr>
          <w:rFonts w:asciiTheme="minorHAnsi" w:hAnsiTheme="minorHAnsi"/>
        </w:rPr>
        <w:t>Pattern</w:t>
      </w:r>
      <w:r w:rsidR="000614FC" w:rsidRPr="00EE361A">
        <w:rPr>
          <w:rFonts w:asciiTheme="minorHAnsi" w:hAnsiTheme="minorHAnsi"/>
        </w:rPr>
        <w:t xml:space="preserve"> </w:t>
      </w:r>
      <w:r w:rsidR="00203101" w:rsidRPr="00EE361A">
        <w:rPr>
          <w:rFonts w:asciiTheme="minorHAnsi" w:hAnsiTheme="minorHAnsi"/>
        </w:rPr>
        <w:fldChar w:fldCharType="begin"/>
      </w:r>
      <w:r w:rsidR="00203101" w:rsidRPr="00EE361A">
        <w:rPr>
          <w:rFonts w:asciiTheme="minorHAnsi" w:hAnsiTheme="minorHAnsi"/>
        </w:rPr>
        <w:instrText xml:space="preserve"> ADDIN ZOTERO_ITEM CSL_CITATION {"citationID":"uMPH447V","properties":{"formattedCitation":"(van der Meer, Steenvoorden, and Ouattara 2023)","plainCitation":"(van der Meer, Steenvoorden, and Ouattara 2023)","noteIndex":0},"citationItems":[{"id":19503,"uris":["http://zotero.org/users/7922128/items/IXYE5HZG"],"itemData":{"id":19503,"type":"article-journal","container-title":"West European Politics","DOI":"10.1080/01402382.2023.2171220","ISSN":"0140-2382","issue":"6","journalAbbreviation":"West European Politics","note":"publisher: Routledge","page":"1089-1105","title":"Fear and the COVID-19 rally round the flag: a panel study on political trust","volume":"46","author":[{"family":"Meer","given":"Tom","non-dropping-particle":"van der"},{"family":"Steenvoorden","given":"Eefje"},{"family":"Ouattara","given":"Ebe"}],"issued":{"date-parts":[["2023",9,19]]}}}],"schema":"https://github.com/citation-style-language/schema/raw/master/csl-citation.json"} </w:instrText>
      </w:r>
      <w:r w:rsidR="00203101" w:rsidRPr="00EE361A">
        <w:rPr>
          <w:rFonts w:asciiTheme="minorHAnsi" w:hAnsiTheme="minorHAnsi"/>
        </w:rPr>
        <w:fldChar w:fldCharType="separate"/>
      </w:r>
      <w:r w:rsidR="00203101" w:rsidRPr="00EE361A">
        <w:rPr>
          <w:rFonts w:ascii="Aptos" w:hAnsi="Aptos"/>
        </w:rPr>
        <w:t>(van der Meer, Steenvoorden, and Ouattara 2023</w:t>
      </w:r>
      <w:r w:rsidR="00FA1A3B" w:rsidRPr="00EE361A">
        <w:rPr>
          <w:rFonts w:ascii="Aptos" w:hAnsi="Aptos"/>
        </w:rPr>
        <w:t xml:space="preserve">; Trenz and Zschache 2025; Hrbková and Kudrnáč 2024 </w:t>
      </w:r>
      <w:r w:rsidR="00203101" w:rsidRPr="00EE361A">
        <w:rPr>
          <w:rFonts w:ascii="Aptos" w:hAnsi="Aptos"/>
        </w:rPr>
        <w:t>)</w:t>
      </w:r>
      <w:r w:rsidR="00203101" w:rsidRPr="00EE361A">
        <w:rPr>
          <w:rFonts w:asciiTheme="minorHAnsi" w:hAnsiTheme="minorHAnsi"/>
        </w:rPr>
        <w:fldChar w:fldCharType="end"/>
      </w:r>
      <w:r w:rsidRPr="00EE361A">
        <w:rPr>
          <w:rFonts w:asciiTheme="minorHAnsi" w:hAnsiTheme="minorHAnsi"/>
        </w:rPr>
        <w:t>.</w:t>
      </w:r>
      <w:r w:rsidR="009330BA" w:rsidRPr="00EE361A">
        <w:rPr>
          <w:rFonts w:asciiTheme="minorHAnsi" w:hAnsiTheme="minorHAnsi"/>
        </w:rPr>
        <w:t xml:space="preserve"> </w:t>
      </w:r>
      <w:r w:rsidR="004E6227" w:rsidRPr="00EE361A">
        <w:rPr>
          <w:rFonts w:asciiTheme="minorHAnsi" w:hAnsiTheme="minorHAnsi"/>
        </w:rPr>
        <w:t>Greece</w:t>
      </w:r>
      <w:r w:rsidR="000614FC" w:rsidRPr="00EE361A">
        <w:rPr>
          <w:rFonts w:asciiTheme="minorHAnsi" w:hAnsiTheme="minorHAnsi"/>
        </w:rPr>
        <w:t>,</w:t>
      </w:r>
      <w:r w:rsidR="004E6227" w:rsidRPr="00EE361A">
        <w:rPr>
          <w:rFonts w:asciiTheme="minorHAnsi" w:hAnsiTheme="minorHAnsi"/>
        </w:rPr>
        <w:t xml:space="preserve"> nonetheless</w:t>
      </w:r>
      <w:r w:rsidR="000614FC" w:rsidRPr="00EE361A">
        <w:rPr>
          <w:rFonts w:asciiTheme="minorHAnsi" w:hAnsiTheme="minorHAnsi"/>
        </w:rPr>
        <w:t>,</w:t>
      </w:r>
      <w:r w:rsidR="004E6227" w:rsidRPr="00EE361A">
        <w:rPr>
          <w:rFonts w:asciiTheme="minorHAnsi" w:hAnsiTheme="minorHAnsi"/>
        </w:rPr>
        <w:t xml:space="preserve"> remained a hard case </w:t>
      </w:r>
      <w:r w:rsidR="00F04F24" w:rsidRPr="00EE361A">
        <w:rPr>
          <w:rFonts w:asciiTheme="minorHAnsi" w:hAnsiTheme="minorHAnsi"/>
        </w:rPr>
        <w:t>due to the economic uncertainties triggered by the pandemic</w:t>
      </w:r>
      <w:r w:rsidR="000D0554" w:rsidRPr="00EE361A">
        <w:rPr>
          <w:rFonts w:asciiTheme="minorHAnsi" w:hAnsiTheme="minorHAnsi"/>
        </w:rPr>
        <w:t xml:space="preserve"> (Ladi et al. 2022)</w:t>
      </w:r>
      <w:r w:rsidR="00F04F24" w:rsidRPr="00EE361A">
        <w:rPr>
          <w:rFonts w:asciiTheme="minorHAnsi" w:hAnsiTheme="minorHAnsi"/>
        </w:rPr>
        <w:t xml:space="preserve">. </w:t>
      </w:r>
      <w:r w:rsidR="00280061" w:rsidRPr="00EE361A">
        <w:rPr>
          <w:rFonts w:asciiTheme="minorHAnsi" w:hAnsiTheme="minorHAnsi"/>
        </w:rPr>
        <w:t>Nevertheless, there were clear signs of a grand coalition in support of executive measures in the initial phase of the pandemic. As in other European countries, this support decreased once the fear of the disease was overshadowed by the fear of political consequences</w:t>
      </w:r>
      <w:r w:rsidR="000D0554" w:rsidRPr="00EE361A">
        <w:rPr>
          <w:rFonts w:asciiTheme="minorHAnsi" w:hAnsiTheme="minorHAnsi"/>
        </w:rPr>
        <w:t xml:space="preserve"> (Verney et al. 2022)</w:t>
      </w:r>
      <w:r w:rsidR="00280061" w:rsidRPr="00EE361A">
        <w:rPr>
          <w:rFonts w:asciiTheme="minorHAnsi" w:hAnsiTheme="minorHAnsi"/>
        </w:rPr>
        <w:t>.</w:t>
      </w:r>
      <w:r w:rsidR="004E6227" w:rsidRPr="00EE361A">
        <w:t xml:space="preserve"> </w:t>
      </w:r>
      <w:r w:rsidR="004E6227" w:rsidRPr="00EE361A">
        <w:rPr>
          <w:rFonts w:asciiTheme="minorHAnsi" w:hAnsiTheme="minorHAnsi"/>
        </w:rPr>
        <w:t xml:space="preserve">These conditions reinforce the </w:t>
      </w:r>
      <w:r w:rsidR="006A5EEF" w:rsidRPr="00EE361A">
        <w:rPr>
          <w:rFonts w:asciiTheme="minorHAnsi" w:hAnsiTheme="minorHAnsi"/>
        </w:rPr>
        <w:t>argument made in</w:t>
      </w:r>
      <w:r w:rsidR="004E6227" w:rsidRPr="00EE361A">
        <w:rPr>
          <w:rFonts w:asciiTheme="minorHAnsi" w:hAnsiTheme="minorHAnsi"/>
        </w:rPr>
        <w:t xml:space="preserve"> this study: communication, rather than repression or crisis performance, played a decisive role in stabilising governmental authority.</w:t>
      </w:r>
    </w:p>
    <w:p w14:paraId="2515F8D8" w14:textId="77777777" w:rsidR="00E41123" w:rsidRPr="00EE361A" w:rsidRDefault="00E41123" w:rsidP="00E41123"/>
    <w:p w14:paraId="6FB72BCC" w14:textId="13649DE5" w:rsidR="00FE28F6" w:rsidRPr="00EE361A" w:rsidRDefault="00FE28F6" w:rsidP="00FE28F6">
      <w:pPr>
        <w:jc w:val="both"/>
        <w:rPr>
          <w:rFonts w:asciiTheme="minorHAnsi" w:hAnsiTheme="minorHAnsi" w:cstheme="minorHAnsi"/>
        </w:rPr>
      </w:pPr>
      <w:r w:rsidRPr="00EE361A">
        <w:rPr>
          <w:rFonts w:asciiTheme="minorHAnsi" w:hAnsiTheme="minorHAnsi" w:cstheme="minorHAnsi"/>
        </w:rPr>
        <w:t xml:space="preserve">Beyond the Greek case, this study offers </w:t>
      </w:r>
      <w:r w:rsidR="004E6227" w:rsidRPr="00EE361A">
        <w:rPr>
          <w:rFonts w:asciiTheme="minorHAnsi" w:hAnsiTheme="minorHAnsi" w:cstheme="minorHAnsi"/>
        </w:rPr>
        <w:t xml:space="preserve">important </w:t>
      </w:r>
      <w:r w:rsidRPr="00EE361A">
        <w:rPr>
          <w:rFonts w:asciiTheme="minorHAnsi" w:hAnsiTheme="minorHAnsi" w:cstheme="minorHAnsi"/>
        </w:rPr>
        <w:t xml:space="preserve">lessons for crisis governance in democratic contexts. </w:t>
      </w:r>
      <w:r w:rsidR="004E6227" w:rsidRPr="00EE361A">
        <w:rPr>
          <w:rFonts w:asciiTheme="minorHAnsi" w:hAnsiTheme="minorHAnsi" w:cstheme="minorHAnsi"/>
        </w:rPr>
        <w:t>S</w:t>
      </w:r>
      <w:r w:rsidRPr="00EE361A">
        <w:rPr>
          <w:rFonts w:asciiTheme="minorHAnsi" w:hAnsiTheme="minorHAnsi" w:cstheme="minorHAnsi"/>
        </w:rPr>
        <w:t>trategic alliances among state actors, scientists, and the media can generate short-term legitimacy</w:t>
      </w:r>
      <w:r w:rsidR="00A87C97" w:rsidRPr="00EE361A">
        <w:rPr>
          <w:rFonts w:asciiTheme="minorHAnsi" w:hAnsiTheme="minorHAnsi" w:cstheme="minorHAnsi"/>
        </w:rPr>
        <w:t xml:space="preserve"> (Ladi et al. 2022; Verney at al. 2022)</w:t>
      </w:r>
      <w:r w:rsidRPr="00EE361A">
        <w:rPr>
          <w:rFonts w:asciiTheme="minorHAnsi" w:hAnsiTheme="minorHAnsi" w:cstheme="minorHAnsi"/>
        </w:rPr>
        <w:t xml:space="preserve">. Yet, it also reveals the fragility of that legitimacy when alternative narratives gain traction in fragmented and largely unregulated digital </w:t>
      </w:r>
      <w:r w:rsidR="00251868" w:rsidRPr="00EE361A">
        <w:rPr>
          <w:rFonts w:asciiTheme="minorHAnsi" w:hAnsiTheme="minorHAnsi" w:cstheme="minorHAnsi"/>
        </w:rPr>
        <w:t>environments</w:t>
      </w:r>
      <w:r w:rsidRPr="00EE361A">
        <w:rPr>
          <w:rFonts w:asciiTheme="minorHAnsi" w:hAnsiTheme="minorHAnsi" w:cstheme="minorHAnsi"/>
        </w:rPr>
        <w:t xml:space="preserve">. The tension between consensus in official discourse and contestation on social media carries significant implications for managing future crises. As democratic states confront ongoing challenges—such as climate </w:t>
      </w:r>
      <w:r w:rsidRPr="00EE361A">
        <w:rPr>
          <w:rFonts w:asciiTheme="minorHAnsi" w:hAnsiTheme="minorHAnsi" w:cstheme="minorHAnsi"/>
        </w:rPr>
        <w:lastRenderedPageBreak/>
        <w:t xml:space="preserve">change, migration, and economic shocks—the lessons of </w:t>
      </w:r>
      <w:r w:rsidR="00FA1A3B" w:rsidRPr="00EE361A">
        <w:rPr>
          <w:rFonts w:asciiTheme="minorHAnsi" w:hAnsiTheme="minorHAnsi" w:cstheme="minorHAnsi"/>
        </w:rPr>
        <w:t>pandemic</w:t>
      </w:r>
      <w:r w:rsidR="00251868" w:rsidRPr="00EE361A">
        <w:rPr>
          <w:rFonts w:asciiTheme="minorHAnsi" w:hAnsiTheme="minorHAnsi" w:cstheme="minorHAnsi"/>
        </w:rPr>
        <w:t xml:space="preserve"> </w:t>
      </w:r>
      <w:r w:rsidRPr="00EE361A">
        <w:rPr>
          <w:rFonts w:asciiTheme="minorHAnsi" w:hAnsiTheme="minorHAnsi" w:cstheme="minorHAnsi"/>
        </w:rPr>
        <w:t xml:space="preserve">remain clear: trust must be actively cultivated, dissent must be addressed rather than silenced, and the media </w:t>
      </w:r>
      <w:r w:rsidR="00251868" w:rsidRPr="00EE361A">
        <w:rPr>
          <w:rFonts w:asciiTheme="minorHAnsi" w:hAnsiTheme="minorHAnsi" w:cstheme="minorHAnsi"/>
        </w:rPr>
        <w:t xml:space="preserve">system </w:t>
      </w:r>
      <w:r w:rsidRPr="00EE361A">
        <w:rPr>
          <w:rFonts w:asciiTheme="minorHAnsi" w:hAnsiTheme="minorHAnsi" w:cstheme="minorHAnsi"/>
        </w:rPr>
        <w:t>must remain both independent and resilient.</w:t>
      </w:r>
    </w:p>
    <w:p w14:paraId="20DEDAF5" w14:textId="75637244" w:rsidR="00BB402F" w:rsidRPr="00EE361A" w:rsidRDefault="00BB402F" w:rsidP="00D25062">
      <w:pPr>
        <w:pStyle w:val="Titolo1"/>
      </w:pPr>
      <w:r w:rsidRPr="00EE361A">
        <w:t>Conclusion</w:t>
      </w:r>
    </w:p>
    <w:p w14:paraId="0B0E83D6" w14:textId="77777777" w:rsidR="00E41123" w:rsidRPr="00EE361A" w:rsidRDefault="00E41123" w:rsidP="00BB402F">
      <w:pPr>
        <w:rPr>
          <w:rFonts w:ascii="-webkit-standard" w:hAnsi="-webkit-standard"/>
          <w:color w:val="000000"/>
          <w:sz w:val="27"/>
          <w:szCs w:val="27"/>
        </w:rPr>
      </w:pPr>
    </w:p>
    <w:p w14:paraId="110DCF58" w14:textId="6727D560" w:rsidR="00D437D9" w:rsidRPr="00EE361A" w:rsidRDefault="0091531F" w:rsidP="00D437D9">
      <w:pPr>
        <w:jc w:val="both"/>
        <w:rPr>
          <w:rFonts w:asciiTheme="minorHAnsi" w:hAnsiTheme="minorHAnsi"/>
        </w:rPr>
      </w:pPr>
      <w:r w:rsidRPr="00EE361A">
        <w:rPr>
          <w:rFonts w:asciiTheme="minorHAnsi" w:hAnsiTheme="minorHAnsi"/>
        </w:rPr>
        <w:t xml:space="preserve">Two </w:t>
      </w:r>
      <w:r w:rsidR="00FE28F6" w:rsidRPr="00EE361A">
        <w:rPr>
          <w:rFonts w:asciiTheme="minorHAnsi" w:hAnsiTheme="minorHAnsi"/>
        </w:rPr>
        <w:t xml:space="preserve">core lessons </w:t>
      </w:r>
      <w:r w:rsidR="00A01DED" w:rsidRPr="00EE361A">
        <w:rPr>
          <w:rFonts w:asciiTheme="minorHAnsi" w:hAnsiTheme="minorHAnsi"/>
        </w:rPr>
        <w:t>emerge</w:t>
      </w:r>
      <w:r w:rsidR="00FE28F6" w:rsidRPr="00EE361A">
        <w:rPr>
          <w:rFonts w:asciiTheme="minorHAnsi" w:hAnsiTheme="minorHAnsi"/>
        </w:rPr>
        <w:t xml:space="preserve"> from the Greek case. The first concerns how the media landscape</w:t>
      </w:r>
      <w:r w:rsidR="00FA1A3B" w:rsidRPr="00EE361A">
        <w:rPr>
          <w:rFonts w:asciiTheme="minorHAnsi" w:hAnsiTheme="minorHAnsi"/>
        </w:rPr>
        <w:t>,</w:t>
      </w:r>
      <w:r w:rsidR="008429DD" w:rsidRPr="00EE361A">
        <w:rPr>
          <w:rFonts w:asciiTheme="minorHAnsi" w:hAnsiTheme="minorHAnsi"/>
        </w:rPr>
        <w:t xml:space="preserve"> </w:t>
      </w:r>
      <w:r w:rsidR="00A01DED" w:rsidRPr="00EE361A">
        <w:rPr>
          <w:rFonts w:asciiTheme="minorHAnsi" w:hAnsiTheme="minorHAnsi"/>
        </w:rPr>
        <w:t>journalistic practices</w:t>
      </w:r>
      <w:r w:rsidR="00FA1A3B" w:rsidRPr="00EE361A">
        <w:rPr>
          <w:rFonts w:asciiTheme="minorHAnsi" w:hAnsiTheme="minorHAnsi"/>
        </w:rPr>
        <w:t>, and the government-scientist alliance</w:t>
      </w:r>
      <w:r w:rsidR="00A01DED" w:rsidRPr="00EE361A">
        <w:rPr>
          <w:rFonts w:asciiTheme="minorHAnsi" w:hAnsiTheme="minorHAnsi"/>
        </w:rPr>
        <w:t xml:space="preserve"> </w:t>
      </w:r>
      <w:r w:rsidR="008429DD" w:rsidRPr="00EE361A">
        <w:rPr>
          <w:rFonts w:asciiTheme="minorHAnsi" w:hAnsiTheme="minorHAnsi"/>
        </w:rPr>
        <w:t>shape</w:t>
      </w:r>
      <w:r w:rsidR="00FE28F6" w:rsidRPr="00EE361A">
        <w:rPr>
          <w:rFonts w:asciiTheme="minorHAnsi" w:hAnsiTheme="minorHAnsi"/>
        </w:rPr>
        <w:t xml:space="preserve"> </w:t>
      </w:r>
      <w:r w:rsidR="00A01DED" w:rsidRPr="00EE361A">
        <w:rPr>
          <w:rFonts w:asciiTheme="minorHAnsi" w:hAnsiTheme="minorHAnsi"/>
        </w:rPr>
        <w:t>contestation's emergence</w:t>
      </w:r>
      <w:r w:rsidR="00FE28F6" w:rsidRPr="00EE361A">
        <w:rPr>
          <w:rFonts w:asciiTheme="minorHAnsi" w:hAnsiTheme="minorHAnsi"/>
        </w:rPr>
        <w:t xml:space="preserve">. Specifically, contestation of controversial </w:t>
      </w:r>
      <w:r w:rsidR="00A01DED" w:rsidRPr="00EE361A">
        <w:rPr>
          <w:rFonts w:asciiTheme="minorHAnsi" w:hAnsiTheme="minorHAnsi"/>
        </w:rPr>
        <w:t xml:space="preserve">crisis </w:t>
      </w:r>
      <w:r w:rsidR="00FE28F6" w:rsidRPr="00EE361A">
        <w:rPr>
          <w:rFonts w:asciiTheme="minorHAnsi" w:hAnsiTheme="minorHAnsi"/>
        </w:rPr>
        <w:t xml:space="preserve">measures can be contained </w:t>
      </w:r>
      <w:r w:rsidR="00A01DED" w:rsidRPr="00EE361A">
        <w:rPr>
          <w:rFonts w:asciiTheme="minorHAnsi" w:hAnsiTheme="minorHAnsi"/>
        </w:rPr>
        <w:t>when</w:t>
      </w:r>
      <w:r w:rsidR="00FE28F6" w:rsidRPr="00EE361A">
        <w:rPr>
          <w:rFonts w:asciiTheme="minorHAnsi" w:hAnsiTheme="minorHAnsi"/>
        </w:rPr>
        <w:t xml:space="preserve"> media and journalists </w:t>
      </w:r>
      <w:r w:rsidR="00FA1A3B" w:rsidRPr="00EE361A">
        <w:rPr>
          <w:rFonts w:asciiTheme="minorHAnsi" w:hAnsiTheme="minorHAnsi"/>
        </w:rPr>
        <w:t>adopt</w:t>
      </w:r>
      <w:r w:rsidR="00FE28F6" w:rsidRPr="00EE361A">
        <w:rPr>
          <w:rFonts w:asciiTheme="minorHAnsi" w:hAnsiTheme="minorHAnsi"/>
        </w:rPr>
        <w:t xml:space="preserve"> </w:t>
      </w:r>
      <w:r w:rsidR="00E310FF" w:rsidRPr="00EE361A">
        <w:rPr>
          <w:rFonts w:asciiTheme="minorHAnsi" w:hAnsiTheme="minorHAnsi"/>
        </w:rPr>
        <w:t xml:space="preserve">a </w:t>
      </w:r>
      <w:r w:rsidR="00FE28F6" w:rsidRPr="00EE361A">
        <w:rPr>
          <w:rFonts w:asciiTheme="minorHAnsi" w:hAnsiTheme="minorHAnsi"/>
        </w:rPr>
        <w:t xml:space="preserve">'rally-round-the-flag' </w:t>
      </w:r>
      <w:r w:rsidR="00E310FF" w:rsidRPr="00EE361A">
        <w:rPr>
          <w:rFonts w:asciiTheme="minorHAnsi" w:hAnsiTheme="minorHAnsi"/>
        </w:rPr>
        <w:t>orientation</w:t>
      </w:r>
      <w:r w:rsidR="00A01DED" w:rsidRPr="00EE361A">
        <w:rPr>
          <w:rFonts w:asciiTheme="minorHAnsi" w:hAnsiTheme="minorHAnsi"/>
        </w:rPr>
        <w:t>, refraining from challenging</w:t>
      </w:r>
      <w:r w:rsidR="00FE28F6" w:rsidRPr="00EE361A">
        <w:rPr>
          <w:rFonts w:asciiTheme="minorHAnsi" w:hAnsiTheme="minorHAnsi"/>
        </w:rPr>
        <w:t xml:space="preserve"> elite framings of the necessity of emergency measures. </w:t>
      </w:r>
      <w:r w:rsidR="006D01D6" w:rsidRPr="00EE361A">
        <w:rPr>
          <w:rFonts w:asciiTheme="minorHAnsi" w:hAnsiTheme="minorHAnsi"/>
        </w:rPr>
        <w:t xml:space="preserve">These findings on the paternalistic and pedagogical narrative that characterised the </w:t>
      </w:r>
      <w:r w:rsidR="00A01DED" w:rsidRPr="00EE361A">
        <w:rPr>
          <w:rFonts w:asciiTheme="minorHAnsi" w:hAnsiTheme="minorHAnsi"/>
        </w:rPr>
        <w:t>pandemic</w:t>
      </w:r>
      <w:r w:rsidR="00E310FF" w:rsidRPr="00EE361A">
        <w:rPr>
          <w:rFonts w:asciiTheme="minorHAnsi" w:hAnsiTheme="minorHAnsi"/>
        </w:rPr>
        <w:t>’s</w:t>
      </w:r>
      <w:r w:rsidR="00A01DED" w:rsidRPr="00EE361A">
        <w:rPr>
          <w:rFonts w:asciiTheme="minorHAnsi" w:hAnsiTheme="minorHAnsi"/>
        </w:rPr>
        <w:t xml:space="preserve"> </w:t>
      </w:r>
      <w:r w:rsidR="006D01D6" w:rsidRPr="00EE361A">
        <w:rPr>
          <w:rFonts w:asciiTheme="minorHAnsi" w:hAnsiTheme="minorHAnsi"/>
        </w:rPr>
        <w:t xml:space="preserve">early stages add to research on crisis communication and media framing, </w:t>
      </w:r>
      <w:r w:rsidR="00A01DED" w:rsidRPr="00EE361A">
        <w:rPr>
          <w:rFonts w:asciiTheme="minorHAnsi" w:hAnsiTheme="minorHAnsi"/>
        </w:rPr>
        <w:t xml:space="preserve">demonstrating </w:t>
      </w:r>
      <w:r w:rsidR="006D01D6" w:rsidRPr="00EE361A">
        <w:rPr>
          <w:rFonts w:asciiTheme="minorHAnsi" w:hAnsiTheme="minorHAnsi"/>
        </w:rPr>
        <w:t xml:space="preserve">how </w:t>
      </w:r>
      <w:r w:rsidR="00FA1A3B" w:rsidRPr="00EE361A">
        <w:rPr>
          <w:rFonts w:asciiTheme="minorHAnsi" w:hAnsiTheme="minorHAnsi"/>
        </w:rPr>
        <w:t xml:space="preserve">this </w:t>
      </w:r>
      <w:r w:rsidR="006D01D6" w:rsidRPr="00EE361A">
        <w:rPr>
          <w:rFonts w:asciiTheme="minorHAnsi" w:hAnsiTheme="minorHAnsi"/>
        </w:rPr>
        <w:t>discursive alliance between state authorities and scientists shaped public messaging</w:t>
      </w:r>
      <w:r w:rsidR="00A01DED" w:rsidRPr="00EE361A">
        <w:rPr>
          <w:rFonts w:asciiTheme="minorHAnsi" w:hAnsiTheme="minorHAnsi"/>
        </w:rPr>
        <w:t>,</w:t>
      </w:r>
      <w:r w:rsidR="00A01DED" w:rsidRPr="00EE361A">
        <w:t xml:space="preserve"> </w:t>
      </w:r>
      <w:r w:rsidR="00A01DED" w:rsidRPr="00EE361A">
        <w:rPr>
          <w:rFonts w:asciiTheme="minorHAnsi" w:hAnsiTheme="minorHAnsi"/>
        </w:rPr>
        <w:t xml:space="preserve">reduced interpretive plurality, and limited visible dissent. </w:t>
      </w:r>
    </w:p>
    <w:p w14:paraId="49B598F1" w14:textId="77777777" w:rsidR="00A01DED" w:rsidRPr="00EE361A" w:rsidRDefault="00A01DED" w:rsidP="00D437D9">
      <w:pPr>
        <w:jc w:val="both"/>
        <w:rPr>
          <w:rFonts w:asciiTheme="minorHAnsi" w:hAnsiTheme="minorHAnsi"/>
        </w:rPr>
      </w:pPr>
    </w:p>
    <w:p w14:paraId="1D7F3534" w14:textId="490ACEDE" w:rsidR="0091531F" w:rsidRPr="00EE361A" w:rsidRDefault="006D01D6" w:rsidP="0091531F">
      <w:pPr>
        <w:jc w:val="both"/>
        <w:rPr>
          <w:rFonts w:asciiTheme="minorHAnsi" w:hAnsiTheme="minorHAnsi" w:cstheme="minorHAnsi"/>
        </w:rPr>
      </w:pPr>
      <w:r w:rsidRPr="00EE361A">
        <w:rPr>
          <w:rFonts w:asciiTheme="minorHAnsi" w:hAnsiTheme="minorHAnsi"/>
        </w:rPr>
        <w:t xml:space="preserve">The second lesson </w:t>
      </w:r>
      <w:r w:rsidR="0091531F" w:rsidRPr="00EE361A">
        <w:rPr>
          <w:rFonts w:asciiTheme="minorHAnsi" w:hAnsiTheme="minorHAnsi"/>
        </w:rPr>
        <w:t xml:space="preserve">highlights the need to study crisis communication across time and discursive arenas. When traditional and online media convey unified messages, dissenting voices tend to move to social media, where emotional and fragmented messages spread more easily. As our interviews confirmed, the political establishment </w:t>
      </w:r>
      <w:r w:rsidR="00C663FB" w:rsidRPr="00EE361A">
        <w:rPr>
          <w:rFonts w:asciiTheme="minorHAnsi" w:hAnsiTheme="minorHAnsi"/>
        </w:rPr>
        <w:t xml:space="preserve">in Greece </w:t>
      </w:r>
      <w:r w:rsidR="0091531F" w:rsidRPr="00EE361A">
        <w:rPr>
          <w:rFonts w:asciiTheme="minorHAnsi" w:hAnsiTheme="minorHAnsi"/>
        </w:rPr>
        <w:t>has a poor understanding of these complex patterns of support and criticism in public debates across distinct arenas. Rather than assuming two parallel arenas of political debate, it is necessary to understand how paternalistic, top-down dynamics of political claims-making through online media are related to bottom-up expressions of resistance as observed in Facebook commentary during the public health crisis.</w:t>
      </w:r>
      <w:r w:rsidR="0091531F" w:rsidRPr="00EE361A">
        <w:rPr>
          <w:rFonts w:asciiTheme="minorHAnsi" w:hAnsiTheme="minorHAnsi" w:cstheme="minorHAnsi"/>
        </w:rPr>
        <w:t xml:space="preserve"> </w:t>
      </w:r>
      <w:r w:rsidR="007C50BB" w:rsidRPr="00EE361A">
        <w:rPr>
          <w:rFonts w:asciiTheme="minorHAnsi" w:hAnsiTheme="minorHAnsi" w:cstheme="minorHAnsi"/>
        </w:rPr>
        <w:t>Our findings therefore stress the necessity for tailored, platform-specific communication strategies. Notably, the institutional alliance's minimal presence on social media created vacuums filled by conspiracy theories and anti-scientific narratives</w:t>
      </w:r>
      <w:r w:rsidR="0091531F" w:rsidRPr="00EE361A">
        <w:rPr>
          <w:rFonts w:asciiTheme="minorHAnsi" w:hAnsiTheme="minorHAnsi" w:cstheme="minorHAnsi"/>
        </w:rPr>
        <w:t>.</w:t>
      </w:r>
      <w:r w:rsidR="007C50BB" w:rsidRPr="00EE361A">
        <w:rPr>
          <w:rFonts w:asciiTheme="minorHAnsi" w:hAnsiTheme="minorHAnsi" w:cstheme="minorHAnsi"/>
        </w:rPr>
        <w:t xml:space="preserve"> Addressing this gap is essential for countering misinformation and fostering informed public discourse. It is important to note, however, that the vocal group of “angry citizens” who amplify dissent and misinformation on social media does not represent the wider Greek population</w:t>
      </w:r>
      <w:r w:rsidR="007C76C5" w:rsidRPr="00EE361A">
        <w:rPr>
          <w:rFonts w:asciiTheme="minorHAnsi" w:hAnsiTheme="minorHAnsi" w:cstheme="minorHAnsi"/>
        </w:rPr>
        <w:t>.</w:t>
      </w:r>
      <w:r w:rsidR="007C50BB" w:rsidRPr="00EE361A">
        <w:rPr>
          <w:rFonts w:asciiTheme="minorHAnsi" w:hAnsiTheme="minorHAnsi" w:cstheme="minorHAnsi"/>
        </w:rPr>
        <w:t xml:space="preserve"> </w:t>
      </w:r>
      <w:r w:rsidR="007C76C5" w:rsidRPr="00EE361A">
        <w:rPr>
          <w:rFonts w:asciiTheme="minorHAnsi" w:hAnsiTheme="minorHAnsi" w:cstheme="minorHAnsi"/>
        </w:rPr>
        <w:t>I</w:t>
      </w:r>
      <w:r w:rsidR="007C50BB" w:rsidRPr="00EE361A">
        <w:rPr>
          <w:rFonts w:asciiTheme="minorHAnsi" w:hAnsiTheme="minorHAnsi" w:cstheme="minorHAnsi"/>
        </w:rPr>
        <w:t xml:space="preserve">t remained marginal and had limited impact on aggregate public opinion. </w:t>
      </w:r>
      <w:r w:rsidR="007C50BB" w:rsidRPr="00EE361A">
        <w:t xml:space="preserve"> </w:t>
      </w:r>
      <w:r w:rsidR="007C50BB" w:rsidRPr="00EE361A">
        <w:rPr>
          <w:rFonts w:asciiTheme="minorHAnsi" w:hAnsiTheme="minorHAnsi" w:cstheme="minorHAnsi"/>
        </w:rPr>
        <w:t>Yet, their disproportionate visibility illustrates how contestation can persist in displaced and informal forms even when institutional arenas remain comparatively controlled.</w:t>
      </w:r>
    </w:p>
    <w:p w14:paraId="201C19D3" w14:textId="77777777" w:rsidR="00A70CBA" w:rsidRPr="00EE361A" w:rsidRDefault="00A70CBA" w:rsidP="00AB5034">
      <w:pPr>
        <w:jc w:val="both"/>
        <w:rPr>
          <w:rFonts w:asciiTheme="minorHAnsi" w:hAnsiTheme="minorHAnsi"/>
        </w:rPr>
      </w:pPr>
    </w:p>
    <w:p w14:paraId="24BDC33B" w14:textId="0E42D347" w:rsidR="00AB5034" w:rsidRPr="00EE361A" w:rsidRDefault="00AB5034" w:rsidP="00AB5034">
      <w:pPr>
        <w:jc w:val="both"/>
        <w:rPr>
          <w:rFonts w:asciiTheme="minorHAnsi" w:hAnsiTheme="minorHAnsi"/>
        </w:rPr>
      </w:pPr>
      <w:r w:rsidRPr="00EE361A">
        <w:rPr>
          <w:rFonts w:asciiTheme="minorHAnsi" w:hAnsiTheme="minorHAnsi"/>
        </w:rPr>
        <w:t xml:space="preserve">Several limitations </w:t>
      </w:r>
      <w:r w:rsidR="004028E0" w:rsidRPr="00EE361A">
        <w:rPr>
          <w:rFonts w:asciiTheme="minorHAnsi" w:hAnsiTheme="minorHAnsi"/>
        </w:rPr>
        <w:t xml:space="preserve">of our study </w:t>
      </w:r>
      <w:r w:rsidRPr="00EE361A">
        <w:rPr>
          <w:rFonts w:asciiTheme="minorHAnsi" w:hAnsiTheme="minorHAnsi"/>
        </w:rPr>
        <w:t xml:space="preserve">should be acknowledged. </w:t>
      </w:r>
      <w:r w:rsidR="0058471F" w:rsidRPr="00EE361A">
        <w:rPr>
          <w:rFonts w:asciiTheme="minorHAnsi" w:hAnsiTheme="minorHAnsi"/>
        </w:rPr>
        <w:t xml:space="preserve">A selective bias may apply, as the </w:t>
      </w:r>
      <w:r w:rsidRPr="00EE361A">
        <w:rPr>
          <w:rFonts w:asciiTheme="minorHAnsi" w:hAnsiTheme="minorHAnsi"/>
        </w:rPr>
        <w:t xml:space="preserve">analysis is restricted to </w:t>
      </w:r>
      <w:r w:rsidR="008F42E5" w:rsidRPr="00EE361A">
        <w:rPr>
          <w:rFonts w:asciiTheme="minorHAnsi" w:hAnsiTheme="minorHAnsi"/>
        </w:rPr>
        <w:t xml:space="preserve">four </w:t>
      </w:r>
      <w:r w:rsidRPr="00EE361A">
        <w:rPr>
          <w:rFonts w:asciiTheme="minorHAnsi" w:hAnsiTheme="minorHAnsi"/>
        </w:rPr>
        <w:t xml:space="preserve">online </w:t>
      </w:r>
      <w:r w:rsidR="008F42E5" w:rsidRPr="00EE361A">
        <w:rPr>
          <w:rFonts w:asciiTheme="minorHAnsi" w:hAnsiTheme="minorHAnsi"/>
        </w:rPr>
        <w:t xml:space="preserve">media </w:t>
      </w:r>
      <w:r w:rsidRPr="00EE361A">
        <w:rPr>
          <w:rFonts w:asciiTheme="minorHAnsi" w:hAnsiTheme="minorHAnsi"/>
        </w:rPr>
        <w:t>outlets and</w:t>
      </w:r>
      <w:r w:rsidR="00947A44" w:rsidRPr="00EE361A">
        <w:rPr>
          <w:rFonts w:asciiTheme="minorHAnsi" w:hAnsiTheme="minorHAnsi"/>
        </w:rPr>
        <w:t xml:space="preserve"> to</w:t>
      </w:r>
      <w:r w:rsidR="00B0083F" w:rsidRPr="00EE361A">
        <w:rPr>
          <w:rFonts w:asciiTheme="minorHAnsi" w:hAnsiTheme="minorHAnsi"/>
        </w:rPr>
        <w:t xml:space="preserve">on  Facebook posts </w:t>
      </w:r>
      <w:r w:rsidR="0058471F" w:rsidRPr="00EE361A">
        <w:rPr>
          <w:rFonts w:asciiTheme="minorHAnsi" w:hAnsiTheme="minorHAnsi"/>
        </w:rPr>
        <w:t>with high user engagement</w:t>
      </w:r>
      <w:r w:rsidR="00947A44" w:rsidRPr="00EE361A">
        <w:rPr>
          <w:rFonts w:asciiTheme="minorHAnsi" w:hAnsiTheme="minorHAnsi"/>
        </w:rPr>
        <w:t xml:space="preserve">. Instead of a random sample over the entire period, we only captured moments of high contention, as defined by our three periods. It therefore needs to be kept in mind that media claims-making and user commenting </w:t>
      </w:r>
      <w:r w:rsidR="00A51B3B" w:rsidRPr="00EE361A">
        <w:rPr>
          <w:rFonts w:asciiTheme="minorHAnsi" w:hAnsiTheme="minorHAnsi"/>
        </w:rPr>
        <w:t xml:space="preserve">tend to </w:t>
      </w:r>
      <w:r w:rsidRPr="00EE361A">
        <w:rPr>
          <w:rFonts w:asciiTheme="minorHAnsi" w:hAnsiTheme="minorHAnsi"/>
        </w:rPr>
        <w:t xml:space="preserve">represent </w:t>
      </w:r>
      <w:r w:rsidR="00A51B3B" w:rsidRPr="00EE361A">
        <w:rPr>
          <w:rFonts w:asciiTheme="minorHAnsi" w:hAnsiTheme="minorHAnsi"/>
        </w:rPr>
        <w:t xml:space="preserve">strong or emotionally charged opinions </w:t>
      </w:r>
      <w:r w:rsidRPr="00EE361A">
        <w:rPr>
          <w:rFonts w:asciiTheme="minorHAnsi" w:hAnsiTheme="minorHAnsi"/>
        </w:rPr>
        <w:t xml:space="preserve">rather than </w:t>
      </w:r>
      <w:r w:rsidR="00A51B3B" w:rsidRPr="00EE361A">
        <w:rPr>
          <w:rFonts w:asciiTheme="minorHAnsi" w:hAnsiTheme="minorHAnsi"/>
        </w:rPr>
        <w:t xml:space="preserve">reflect </w:t>
      </w:r>
      <w:r w:rsidRPr="00EE361A">
        <w:rPr>
          <w:rFonts w:asciiTheme="minorHAnsi" w:hAnsiTheme="minorHAnsi"/>
        </w:rPr>
        <w:t xml:space="preserve">general </w:t>
      </w:r>
      <w:r w:rsidR="00A51B3B" w:rsidRPr="00EE361A">
        <w:rPr>
          <w:rFonts w:asciiTheme="minorHAnsi" w:hAnsiTheme="minorHAnsi"/>
        </w:rPr>
        <w:t>public opinion</w:t>
      </w:r>
      <w:r w:rsidRPr="00EE361A">
        <w:rPr>
          <w:rFonts w:asciiTheme="minorHAnsi" w:hAnsiTheme="minorHAnsi"/>
        </w:rPr>
        <w:t xml:space="preserve">. The qualitative interviews likewise capture the perspectives of a limited group of actors and could be expanded to include societal and economic stakeholders. These constraints mean that the results should be viewed as illustrative of communicative </w:t>
      </w:r>
      <w:r w:rsidRPr="00EE361A">
        <w:rPr>
          <w:rFonts w:asciiTheme="minorHAnsi" w:hAnsiTheme="minorHAnsi"/>
        </w:rPr>
        <w:lastRenderedPageBreak/>
        <w:t xml:space="preserve">patterns, not as comprehensive measures of public opinion or behaviour. Yet they also point toward productive directions for future research. </w:t>
      </w:r>
      <w:r w:rsidR="00A51B3B" w:rsidRPr="00EE361A">
        <w:rPr>
          <w:rFonts w:asciiTheme="minorHAnsi" w:hAnsiTheme="minorHAnsi"/>
        </w:rPr>
        <w:t>Future, c</w:t>
      </w:r>
      <w:r w:rsidRPr="00EE361A">
        <w:rPr>
          <w:rFonts w:asciiTheme="minorHAnsi" w:hAnsiTheme="minorHAnsi"/>
        </w:rPr>
        <w:t>omparative work could test whether similar communicative trajectories and actor configurations appear in other national and media contexts.</w:t>
      </w:r>
    </w:p>
    <w:p w14:paraId="0556136D" w14:textId="77777777" w:rsidR="00185D8A" w:rsidRPr="00EE361A" w:rsidRDefault="00185D8A" w:rsidP="00FE28F6">
      <w:pPr>
        <w:jc w:val="both"/>
        <w:rPr>
          <w:rFonts w:ascii="-webkit-standard" w:hAnsi="-webkit-standard"/>
          <w:color w:val="000000"/>
          <w:sz w:val="27"/>
          <w:szCs w:val="27"/>
        </w:rPr>
      </w:pPr>
    </w:p>
    <w:p w14:paraId="18DDFFF9" w14:textId="1A8F44FB" w:rsidR="00FE28F6" w:rsidRPr="00EE361A" w:rsidRDefault="00AB5034" w:rsidP="00FE28F6">
      <w:pPr>
        <w:jc w:val="both"/>
        <w:rPr>
          <w:rFonts w:asciiTheme="minorHAnsi" w:hAnsiTheme="minorHAnsi"/>
        </w:rPr>
      </w:pPr>
      <w:r w:rsidRPr="00EE361A">
        <w:rPr>
          <w:rFonts w:asciiTheme="minorHAnsi" w:hAnsiTheme="minorHAnsi"/>
        </w:rPr>
        <w:t>Overall, the Greek case underscores the centrality of communication, expertise, and public contestation in the governance of crises. Rather than focusing solely on policy performance, analysing how crises are publicly communicated and debated reveals much about how democratic governments justify decisions, maintain credibility, and respond to dissent in increasingly hybrid and contested information environments.</w:t>
      </w:r>
      <w:r w:rsidR="00FE28F6" w:rsidRPr="00EE361A">
        <w:rPr>
          <w:rFonts w:asciiTheme="minorHAnsi" w:hAnsiTheme="minorHAnsi"/>
        </w:rPr>
        <w:t xml:space="preserve"> </w:t>
      </w:r>
    </w:p>
    <w:p w14:paraId="610F0920" w14:textId="77777777" w:rsidR="00FE28F6" w:rsidRPr="00EE361A" w:rsidRDefault="00FE28F6" w:rsidP="00AB5034">
      <w:pPr>
        <w:jc w:val="both"/>
        <w:rPr>
          <w:rFonts w:asciiTheme="minorHAnsi" w:hAnsiTheme="minorHAnsi"/>
        </w:rPr>
      </w:pPr>
    </w:p>
    <w:p w14:paraId="2367993A" w14:textId="77777777" w:rsidR="003D00F5" w:rsidRPr="00EE361A" w:rsidRDefault="003D00F5" w:rsidP="003D00F5">
      <w:pPr>
        <w:keepNext/>
        <w:keepLines/>
        <w:spacing w:before="240"/>
        <w:outlineLvl w:val="0"/>
        <w:rPr>
          <w:rFonts w:ascii="Calibri" w:hAnsi="Calibri" w:cs="Calibri"/>
          <w:color w:val="2F5496"/>
          <w:sz w:val="32"/>
          <w:szCs w:val="32"/>
        </w:rPr>
      </w:pPr>
      <w:r w:rsidRPr="00EE361A">
        <w:rPr>
          <w:rFonts w:ascii="Calibri" w:hAnsi="Calibri" w:cs="Calibri"/>
          <w:color w:val="2F5496"/>
          <w:sz w:val="32"/>
          <w:szCs w:val="32"/>
        </w:rPr>
        <w:t xml:space="preserve">References </w:t>
      </w:r>
    </w:p>
    <w:p w14:paraId="586E163E" w14:textId="77777777" w:rsidR="003D00F5" w:rsidRPr="00EE361A" w:rsidRDefault="003D00F5" w:rsidP="003D00F5">
      <w:pPr>
        <w:jc w:val="both"/>
        <w:rPr>
          <w:rFonts w:ascii="Calibri" w:hAnsi="Calibri" w:cs="Calibri"/>
        </w:rPr>
      </w:pPr>
    </w:p>
    <w:p w14:paraId="35EA6347"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Adam, Silke, Aleksandra Urman, Dorothee Arlt, Teresa Gil-Lopez, Mykola Makhortykh, and Michaela Maier. (2023). ‘Media Trust and the COVID-19 Pandemic: An Analysis of Short-Term Trust Changes, Their Ideological Drivers and Consequences in Switzerland’. </w:t>
      </w:r>
      <w:r w:rsidRPr="00EE361A">
        <w:rPr>
          <w:rFonts w:asciiTheme="minorHAnsi" w:hAnsiTheme="minorHAnsi" w:cs="Calibri"/>
          <w:i/>
          <w:iCs/>
        </w:rPr>
        <w:t>Communication Research</w:t>
      </w:r>
      <w:r w:rsidRPr="00EE361A">
        <w:rPr>
          <w:rFonts w:asciiTheme="minorHAnsi" w:hAnsiTheme="minorHAnsi" w:cs="Calibri"/>
        </w:rPr>
        <w:t xml:space="preserve"> 50(2):205–29. doi: 10.1177/00936502221127484.</w:t>
      </w:r>
    </w:p>
    <w:p w14:paraId="7BEF760D"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Agamben, G. (2021). </w:t>
      </w:r>
      <w:r w:rsidRPr="00EE361A">
        <w:rPr>
          <w:rFonts w:asciiTheme="minorHAnsi" w:hAnsiTheme="minorHAnsi" w:cs="Calibri"/>
          <w:i/>
          <w:iCs/>
        </w:rPr>
        <w:t>Where Are We Now?: The Epidemic as Politics</w:t>
      </w:r>
      <w:r w:rsidRPr="00EE361A">
        <w:rPr>
          <w:rFonts w:asciiTheme="minorHAnsi" w:hAnsiTheme="minorHAnsi" w:cs="Calibri"/>
        </w:rPr>
        <w:t>. Lanham: Rowman &amp; Littlefield Publishers.</w:t>
      </w:r>
    </w:p>
    <w:p w14:paraId="2C90DA11"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Albanis, I. (2020, December 1). Πολιτική κόντρα για τη φωτογραφία Μητσοτάκη στην Πάρνηθα. </w:t>
      </w:r>
      <w:r w:rsidRPr="00EE361A">
        <w:rPr>
          <w:rFonts w:asciiTheme="minorHAnsi" w:hAnsiTheme="minorHAnsi" w:cs="Calibri"/>
          <w:i/>
          <w:iCs/>
        </w:rPr>
        <w:t>CNN.gr</w:t>
      </w:r>
      <w:r w:rsidRPr="00EE361A">
        <w:rPr>
          <w:rFonts w:asciiTheme="minorHAnsi" w:hAnsiTheme="minorHAnsi" w:cs="Calibri"/>
        </w:rPr>
        <w:t>. https://www.cnn.gr/politiki/story/245133/politiki-kontra-gia-ti-fotografia-mitsotaki-stin-parnitha</w:t>
      </w:r>
    </w:p>
    <w:p w14:paraId="4C0A9611"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Alexopoulou, S., &amp; Pavli, A. (2021). Responsible Citizens against an Irresponsible State: The Case of Greece amidst the COVID-19 Pandemic. HAPSc Policy Briefs Series, 2(1), 9–16. doi: https://doi.org/10.12681/hapscpbs.27646</w:t>
      </w:r>
    </w:p>
    <w:p w14:paraId="4D2BE67D"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Bamias G, Lagou S, Gizis M, Karampekos G, Kyriakoulis KG, Pontas C, Mantzaris GJ. (2020) The Greek Response to COVID-19: A True Success Story from an IBD Perspective. Inflamm Bowel Dis. Jul 17;26(8):1144-1148. doi: 10.1093/ibd/izaa143. PMID: 32476001; PMCID: PMC7313988. </w:t>
      </w:r>
    </w:p>
    <w:p w14:paraId="3EB12E68"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Chatzopoulou, S., &amp; Exadaktylos, T. (2021). Whose Opinion Is It? Public Debates and Repertoires of Action in Greece During the First Covid-19 Lockdown Period. </w:t>
      </w:r>
      <w:r w:rsidRPr="00EE361A">
        <w:rPr>
          <w:rFonts w:asciiTheme="minorHAnsi" w:hAnsiTheme="minorHAnsi" w:cs="Calibri"/>
          <w:i/>
          <w:iCs/>
        </w:rPr>
        <w:t>Javnost - The Public</w:t>
      </w:r>
      <w:r w:rsidRPr="00EE361A">
        <w:rPr>
          <w:rFonts w:asciiTheme="minorHAnsi" w:hAnsiTheme="minorHAnsi" w:cs="Calibri"/>
        </w:rPr>
        <w:t>, </w:t>
      </w:r>
      <w:r w:rsidRPr="00EE361A">
        <w:rPr>
          <w:rFonts w:asciiTheme="minorHAnsi" w:hAnsiTheme="minorHAnsi" w:cs="Calibri"/>
          <w:i/>
          <w:iCs/>
        </w:rPr>
        <w:t>28</w:t>
      </w:r>
      <w:r w:rsidRPr="00EE361A">
        <w:rPr>
          <w:rFonts w:asciiTheme="minorHAnsi" w:hAnsiTheme="minorHAnsi" w:cs="Calibri"/>
        </w:rPr>
        <w:t xml:space="preserve">(2), 185–201. </w:t>
      </w:r>
      <w:hyperlink r:id="rId8" w:history="1">
        <w:r w:rsidRPr="00EE361A">
          <w:rPr>
            <w:rFonts w:asciiTheme="minorHAnsi" w:hAnsiTheme="minorHAnsi" w:cs="Calibri"/>
            <w:color w:val="0000FF"/>
            <w:u w:val="single"/>
          </w:rPr>
          <w:t>https://doi.org/10.1080/13183222.2021.1919381</w:t>
        </w:r>
      </w:hyperlink>
    </w:p>
    <w:p w14:paraId="2E4E265F"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 xml:space="preserve">Chouliaraki, Lilie, and Myria Georgiou. (2019). ‘The Digital Border: The Media of Refugee Reception during the 2015 “Migration Crisis”’. Pp. 184–204 in </w:t>
      </w:r>
      <w:r w:rsidRPr="00EE361A">
        <w:rPr>
          <w:rFonts w:asciiTheme="minorHAnsi" w:hAnsiTheme="minorHAnsi" w:cs="Calibri"/>
          <w:i/>
          <w:iCs/>
        </w:rPr>
        <w:t>Research Across the Humanities</w:t>
      </w:r>
      <w:r w:rsidRPr="00EE361A">
        <w:rPr>
          <w:rFonts w:asciiTheme="minorHAnsi" w:hAnsiTheme="minorHAnsi" w:cs="Calibri"/>
        </w:rPr>
        <w:t>. Edinburgh: Edinburgh University Press.</w:t>
      </w:r>
    </w:p>
    <w:p w14:paraId="0722D525"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lastRenderedPageBreak/>
        <w:t xml:space="preserve">Cinalli, Manlio, Hans-Jörg Trenz, Verena Brändle, Olga Eisele and Christian Lahusen (2021): </w:t>
      </w:r>
      <w:hyperlink r:id="rId9" w:history="1">
        <w:r w:rsidRPr="00EE361A">
          <w:rPr>
            <w:rFonts w:asciiTheme="minorHAnsi" w:hAnsiTheme="minorHAnsi" w:cs="Calibri"/>
            <w:i/>
            <w:iCs/>
          </w:rPr>
          <w:t>Solidarity in the Media and Public Contention over Refugees in Europe, Routledge Studies in Media, Communication, and Politics</w:t>
        </w:r>
      </w:hyperlink>
      <w:r w:rsidRPr="00EE361A">
        <w:rPr>
          <w:rFonts w:asciiTheme="minorHAnsi" w:hAnsiTheme="minorHAnsi" w:cs="Calibri"/>
        </w:rPr>
        <w:t>, London: Routledge.</w:t>
      </w:r>
    </w:p>
    <w:p w14:paraId="5E579C9E" w14:textId="77777777" w:rsidR="00B46B71" w:rsidRPr="00EE361A" w:rsidRDefault="00B46B71" w:rsidP="00B46B71">
      <w:pPr>
        <w:spacing w:after="240"/>
        <w:ind w:left="720" w:hanging="720"/>
        <w:jc w:val="both"/>
        <w:rPr>
          <w:rFonts w:asciiTheme="minorHAnsi" w:hAnsiTheme="minorHAnsi" w:cs="Calibri"/>
          <w:lang w:val="it-IT"/>
        </w:rPr>
      </w:pPr>
      <w:r w:rsidRPr="00EE361A">
        <w:rPr>
          <w:rFonts w:asciiTheme="minorHAnsi" w:hAnsiTheme="minorHAnsi" w:cs="Calibri"/>
        </w:rPr>
        <w:fldChar w:fldCharType="begin"/>
      </w:r>
      <w:r w:rsidRPr="00EE361A">
        <w:rPr>
          <w:rFonts w:asciiTheme="minorHAnsi" w:hAnsiTheme="minorHAnsi" w:cs="Calibri"/>
        </w:rPr>
        <w:instrText xml:space="preserve"> ADDIN ZOTERO_BIBL {"uncited":[],"omitted":[],"custom":[]} CSL_BIBLIOGRAPHY </w:instrText>
      </w:r>
      <w:r w:rsidRPr="00EE361A">
        <w:rPr>
          <w:rFonts w:asciiTheme="minorHAnsi" w:hAnsiTheme="minorHAnsi" w:cs="Calibri"/>
        </w:rPr>
        <w:fldChar w:fldCharType="separate"/>
      </w:r>
      <w:r w:rsidRPr="00EE361A">
        <w:rPr>
          <w:rFonts w:asciiTheme="minorHAnsi" w:hAnsiTheme="minorHAnsi" w:cs="Calibri"/>
        </w:rPr>
        <w:t xml:space="preserve">Cowden, S., and N. Yuval-Davis. (2022). ‘Contested Narratives of the Pandemic Crisis. The Far Right, Anti-Vaxxers and Freedom of Speech’. </w:t>
      </w:r>
      <w:r w:rsidRPr="00EE361A">
        <w:rPr>
          <w:rFonts w:asciiTheme="minorHAnsi" w:hAnsiTheme="minorHAnsi" w:cs="Calibri"/>
          <w:i/>
          <w:iCs/>
          <w:lang w:val="it-IT"/>
        </w:rPr>
        <w:t>Femminist Dissent</w:t>
      </w:r>
      <w:r w:rsidRPr="00EE361A">
        <w:rPr>
          <w:rFonts w:asciiTheme="minorHAnsi" w:hAnsiTheme="minorHAnsi" w:cs="Calibri"/>
          <w:lang w:val="it-IT"/>
        </w:rPr>
        <w:t xml:space="preserve"> 6. doi: https://doi.org/10.31273/fd.n6.2022.1264.</w:t>
      </w:r>
    </w:p>
    <w:p w14:paraId="622051BB"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lang w:val="it-IT"/>
        </w:rPr>
        <w:t xml:space="preserve">Della Porta, D. (2022). </w:t>
      </w:r>
      <w:r w:rsidRPr="00EE361A">
        <w:rPr>
          <w:rFonts w:asciiTheme="minorHAnsi" w:hAnsiTheme="minorHAnsi" w:cs="Calibri"/>
          <w:i/>
          <w:iCs/>
        </w:rPr>
        <w:t>Contentious Politics in Emergency Critical Junctures: Progressive Social Movements during the Pandemic</w:t>
      </w:r>
      <w:r w:rsidRPr="00EE361A">
        <w:rPr>
          <w:rFonts w:asciiTheme="minorHAnsi" w:hAnsiTheme="minorHAnsi" w:cs="Calibri"/>
        </w:rPr>
        <w:t>. Cambridge: Cambridge University Press.</w:t>
      </w:r>
    </w:p>
    <w:p w14:paraId="0CEC6833"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Della Porta, Donatella. (2023). </w:t>
      </w:r>
      <w:r w:rsidRPr="00EE361A">
        <w:rPr>
          <w:rFonts w:asciiTheme="minorHAnsi" w:hAnsiTheme="minorHAnsi" w:cs="Calibri"/>
          <w:i/>
          <w:iCs/>
        </w:rPr>
        <w:t>Regressive Movements in Times of Emergency: The Protests Against Anti-Contagion Measures and Vaccination During the Covid-19 Pandemic</w:t>
      </w:r>
      <w:r w:rsidRPr="00EE361A">
        <w:rPr>
          <w:rFonts w:asciiTheme="minorHAnsi" w:hAnsiTheme="minorHAnsi" w:cs="Calibri"/>
        </w:rPr>
        <w:t>. Oxford: Oxford University Press.</w:t>
      </w:r>
    </w:p>
    <w:p w14:paraId="64662A44"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Demertzis, N. (2020). Pandemic as Trauma. </w:t>
      </w:r>
      <w:r w:rsidRPr="00EE361A">
        <w:rPr>
          <w:rFonts w:asciiTheme="minorHAnsi" w:hAnsiTheme="minorHAnsi" w:cs="Calibri"/>
          <w:i/>
          <w:iCs/>
        </w:rPr>
        <w:t>The ideas of the Pandemic. diaNEOsis. available at: https://www. dianeosis. org/2020/06/i-pandimia-os-travma/ΕΝΑ Institute of Alternative Policies.(2020). p</w:t>
      </w:r>
      <w:r w:rsidRPr="00EE361A">
        <w:rPr>
          <w:rFonts w:asciiTheme="minorHAnsi" w:hAnsiTheme="minorHAnsi" w:cs="Calibri"/>
        </w:rPr>
        <w:t xml:space="preserve">, </w:t>
      </w:r>
      <w:r w:rsidRPr="00EE361A">
        <w:rPr>
          <w:rFonts w:asciiTheme="minorHAnsi" w:hAnsiTheme="minorHAnsi" w:cs="Calibri"/>
          <w:i/>
          <w:iCs/>
        </w:rPr>
        <w:t>6</w:t>
      </w:r>
      <w:r w:rsidRPr="00EE361A">
        <w:rPr>
          <w:rFonts w:asciiTheme="minorHAnsi" w:hAnsiTheme="minorHAnsi" w:cs="Calibri"/>
        </w:rPr>
        <w:t>. (in Greek)</w:t>
      </w:r>
    </w:p>
    <w:p w14:paraId="3E706651" w14:textId="77777777" w:rsidR="00B46B71" w:rsidRPr="00EE361A" w:rsidRDefault="00B46B71" w:rsidP="00B46B71">
      <w:pPr>
        <w:spacing w:after="240"/>
        <w:ind w:left="720" w:hanging="720"/>
        <w:jc w:val="both"/>
        <w:rPr>
          <w:rFonts w:asciiTheme="minorHAnsi" w:hAnsiTheme="minorHAnsi" w:cs="Calibri"/>
          <w:color w:val="222222"/>
          <w:shd w:val="clear" w:color="auto" w:fill="FFFFFF"/>
        </w:rPr>
      </w:pPr>
      <w:r w:rsidRPr="00EE361A">
        <w:rPr>
          <w:rFonts w:asciiTheme="minorHAnsi" w:hAnsiTheme="minorHAnsi" w:cs="Calibri"/>
        </w:rPr>
        <w:t xml:space="preserve">Diani, M., &amp; Kousis, M. (2014). The duality of claims and events: The Greek campaign against the Troika's memoranda and austerity, 2010-2012. </w:t>
      </w:r>
      <w:r w:rsidRPr="00EE361A">
        <w:rPr>
          <w:rFonts w:asciiTheme="minorHAnsi" w:hAnsiTheme="minorHAnsi" w:cs="Calibri"/>
          <w:i/>
          <w:iCs/>
        </w:rPr>
        <w:t>Mobilization: An International Quarterly</w:t>
      </w:r>
      <w:r w:rsidRPr="00EE361A">
        <w:rPr>
          <w:rFonts w:asciiTheme="minorHAnsi" w:hAnsiTheme="minorHAnsi" w:cs="Calibri"/>
        </w:rPr>
        <w:t xml:space="preserve">, </w:t>
      </w:r>
      <w:r w:rsidRPr="00EE361A">
        <w:rPr>
          <w:rFonts w:asciiTheme="minorHAnsi" w:hAnsiTheme="minorHAnsi" w:cs="Calibri"/>
          <w:i/>
          <w:iCs/>
        </w:rPr>
        <w:t>19</w:t>
      </w:r>
      <w:r w:rsidRPr="00EE361A">
        <w:rPr>
          <w:rFonts w:asciiTheme="minorHAnsi" w:hAnsiTheme="minorHAnsi" w:cs="Calibri"/>
        </w:rPr>
        <w:t>(4), 387-404.</w:t>
      </w:r>
      <w:r w:rsidRPr="00EE361A">
        <w:rPr>
          <w:rFonts w:asciiTheme="minorHAnsi" w:hAnsiTheme="minorHAnsi" w:cs="Calibri"/>
          <w:color w:val="222222"/>
          <w:shd w:val="clear" w:color="auto" w:fill="FFFFFF"/>
        </w:rPr>
        <w:t xml:space="preserve"> </w:t>
      </w:r>
    </w:p>
    <w:p w14:paraId="04E1B1C0" w14:textId="37BB15B0" w:rsidR="00145C63" w:rsidRPr="00EE361A" w:rsidRDefault="00145C63" w:rsidP="00B46B71">
      <w:pPr>
        <w:spacing w:after="240"/>
        <w:ind w:left="720" w:hanging="720"/>
        <w:jc w:val="both"/>
        <w:rPr>
          <w:rFonts w:asciiTheme="minorHAnsi" w:hAnsiTheme="minorHAnsi" w:cs="Calibri"/>
          <w:color w:val="222222"/>
          <w:shd w:val="clear" w:color="auto" w:fill="FFFFFF"/>
        </w:rPr>
      </w:pPr>
      <w:r w:rsidRPr="00EE361A">
        <w:rPr>
          <w:rFonts w:asciiTheme="minorHAnsi" w:hAnsiTheme="minorHAnsi" w:cs="Calibri"/>
          <w:color w:val="222222"/>
          <w:shd w:val="clear" w:color="auto" w:fill="FFFFFF"/>
        </w:rPr>
        <w:t xml:space="preserve">EnTrust (2022), </w:t>
      </w:r>
      <w:r w:rsidRPr="00EE361A">
        <w:rPr>
          <w:rFonts w:asciiTheme="minorHAnsi" w:hAnsiTheme="minorHAnsi" w:cs="Calibri"/>
          <w:i/>
          <w:iCs/>
          <w:color w:val="222222"/>
          <w:shd w:val="clear" w:color="auto" w:fill="FFFFFF"/>
        </w:rPr>
        <w:t>Work package 4: Integrated Report on Trust and the Media</w:t>
      </w:r>
      <w:r w:rsidRPr="00EE361A">
        <w:rPr>
          <w:rFonts w:asciiTheme="minorHAnsi" w:hAnsiTheme="minorHAnsi" w:cs="Calibri"/>
          <w:color w:val="222222"/>
          <w:shd w:val="clear" w:color="auto" w:fill="FFFFFF"/>
        </w:rPr>
        <w:t xml:space="preserve">, https://entrust-project.eu/files/2022/10/Trust-and-the-Media-integrated-report-WP4.pdf </w:t>
      </w:r>
    </w:p>
    <w:p w14:paraId="791215AD"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Exadaktylos, T., Chatzopoulou, S. (2023). Greece: Command and Control Combined with Expert-Driven Responses?. In: Lynggaard, K., Jensen, M.D., Kluth, M. (eds) G</w:t>
      </w:r>
      <w:r w:rsidRPr="00EE361A">
        <w:rPr>
          <w:rFonts w:asciiTheme="minorHAnsi" w:hAnsiTheme="minorHAnsi" w:cs="Calibri"/>
          <w:i/>
          <w:iCs/>
        </w:rPr>
        <w:t>overnments' Responses to the Covid-19 Pandemic in Europe</w:t>
      </w:r>
      <w:r w:rsidRPr="00EE361A">
        <w:rPr>
          <w:rFonts w:asciiTheme="minorHAnsi" w:hAnsiTheme="minorHAnsi" w:cs="Calibri"/>
        </w:rPr>
        <w:t>. Palgrave Macmillan, Cham. https://doi.org/10.1007/978-3-031-14145-4_5</w:t>
      </w:r>
    </w:p>
    <w:p w14:paraId="45D68F66" w14:textId="151D39B2" w:rsidR="00B46B71" w:rsidRPr="00EE361A" w:rsidRDefault="00B46B71" w:rsidP="00B46B71">
      <w:pPr>
        <w:ind w:left="709" w:hanging="709"/>
        <w:jc w:val="both"/>
        <w:rPr>
          <w:rFonts w:asciiTheme="minorHAnsi" w:hAnsiTheme="minorHAnsi" w:cs="Calibri"/>
          <w:color w:val="000000"/>
        </w:rPr>
      </w:pPr>
      <w:r w:rsidRPr="00EE361A">
        <w:rPr>
          <w:rFonts w:asciiTheme="minorHAnsi" w:hAnsiTheme="minorHAnsi" w:cs="Calibri"/>
        </w:rPr>
        <w:t>E</w:t>
      </w:r>
      <w:r w:rsidRPr="00EE361A">
        <w:rPr>
          <w:rFonts w:asciiTheme="minorHAnsi" w:hAnsiTheme="minorHAnsi" w:cs="Calibri"/>
          <w:color w:val="000000"/>
        </w:rPr>
        <w:t xml:space="preserve"> </w:t>
      </w:r>
    </w:p>
    <w:p w14:paraId="53481824" w14:textId="77777777" w:rsidR="00B46B71" w:rsidRPr="00EE361A" w:rsidRDefault="00B46B71" w:rsidP="00B46B71">
      <w:pPr>
        <w:ind w:left="709" w:hanging="709"/>
        <w:jc w:val="both"/>
        <w:rPr>
          <w:rFonts w:asciiTheme="minorHAnsi" w:hAnsiTheme="minorHAnsi" w:cs="Calibri"/>
        </w:rPr>
      </w:pPr>
      <w:r w:rsidRPr="00EE361A">
        <w:rPr>
          <w:rFonts w:asciiTheme="minorHAnsi" w:hAnsiTheme="minorHAnsi" w:cs="Calibri"/>
        </w:rPr>
        <w:t xml:space="preserve">European Parliament (2024) </w:t>
      </w:r>
      <w:r w:rsidRPr="00EE361A">
        <w:rPr>
          <w:rFonts w:asciiTheme="minorHAnsi" w:hAnsiTheme="minorHAnsi" w:cs="Calibri"/>
          <w:i/>
          <w:iCs/>
        </w:rPr>
        <w:t>Texts adopted - rule of law and media freedom in Greece - Wednesday, 7 February 2024</w:t>
      </w:r>
      <w:r w:rsidRPr="00EE361A">
        <w:rPr>
          <w:rFonts w:asciiTheme="minorHAnsi" w:hAnsiTheme="minorHAnsi" w:cs="Calibri"/>
        </w:rPr>
        <w:t xml:space="preserve">. europarl.europa.eu. (n.d.). </w:t>
      </w:r>
      <w:hyperlink r:id="rId10" w:history="1">
        <w:r w:rsidRPr="00EE361A">
          <w:rPr>
            <w:rFonts w:asciiTheme="minorHAnsi" w:hAnsiTheme="minorHAnsi" w:cs="Calibri"/>
            <w:color w:val="0000FF"/>
            <w:u w:val="single"/>
          </w:rPr>
          <w:t>https://www.europarl.europa.eu/doceo/document/TA-9-2024-0069_EN.html</w:t>
        </w:r>
      </w:hyperlink>
      <w:r w:rsidRPr="00EE361A">
        <w:rPr>
          <w:rFonts w:asciiTheme="minorHAnsi" w:hAnsiTheme="minorHAnsi" w:cs="Calibri"/>
        </w:rPr>
        <w:t> </w:t>
      </w:r>
    </w:p>
    <w:p w14:paraId="0FD2FFFD" w14:textId="77777777" w:rsidR="00B46B71" w:rsidRPr="00EE361A" w:rsidRDefault="00B46B71" w:rsidP="00B46B71">
      <w:pPr>
        <w:ind w:left="709" w:hanging="709"/>
        <w:jc w:val="both"/>
        <w:rPr>
          <w:rFonts w:asciiTheme="minorHAnsi" w:hAnsiTheme="minorHAnsi" w:cs="Calibri"/>
        </w:rPr>
      </w:pPr>
      <w:r w:rsidRPr="00EE361A">
        <w:rPr>
          <w:rFonts w:asciiTheme="minorHAnsi" w:hAnsiTheme="minorHAnsi" w:cs="Calibri"/>
        </w:rPr>
        <w:t xml:space="preserve">Esmark, Anders. 2023. ‘How Does Crisis Affect the Conflict between Technocracy and Populism? Lessons from the COVID-19 Pandemic’. </w:t>
      </w:r>
      <w:r w:rsidRPr="00EE361A">
        <w:rPr>
          <w:rFonts w:asciiTheme="minorHAnsi" w:hAnsiTheme="minorHAnsi" w:cs="Calibri"/>
          <w:i/>
          <w:iCs/>
        </w:rPr>
        <w:t>Politics</w:t>
      </w:r>
      <w:r w:rsidRPr="00EE361A">
        <w:rPr>
          <w:rFonts w:asciiTheme="minorHAnsi" w:hAnsiTheme="minorHAnsi" w:cs="Calibri"/>
        </w:rPr>
        <w:t xml:space="preserve"> 43(4):520–35. doi: 10.1177/02633957211049965.</w:t>
      </w:r>
    </w:p>
    <w:p w14:paraId="2CB33765"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Forster, Timon, and Mirko Heinzel. 2021. ‘Reacting, Fast and Slow: How World Leaders Shaped Government Responses to the COVID-19 Pandemic’. </w:t>
      </w:r>
      <w:r w:rsidRPr="00EE361A">
        <w:rPr>
          <w:rFonts w:asciiTheme="minorHAnsi" w:hAnsiTheme="minorHAnsi" w:cs="Calibri"/>
          <w:i/>
          <w:iCs/>
        </w:rPr>
        <w:t>Journal of European Public Policy</w:t>
      </w:r>
      <w:r w:rsidRPr="00EE361A">
        <w:rPr>
          <w:rFonts w:asciiTheme="minorHAnsi" w:hAnsiTheme="minorHAnsi" w:cs="Calibri"/>
        </w:rPr>
        <w:t xml:space="preserve"> 28(8):1299–1320. doi: 10.1080/13501763.2021.1942157. </w:t>
      </w:r>
    </w:p>
    <w:p w14:paraId="0CF68EBA"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Giannouli, I., Karadimitriou, A., Archontaki, I., &amp; Papathanassopoulos, S. (2024). COVID-19 vaccine hesitancy: analyzing anti-vaccine rhetoric on </w:t>
      </w:r>
      <w:r w:rsidRPr="00EE361A">
        <w:rPr>
          <w:rFonts w:asciiTheme="minorHAnsi" w:hAnsiTheme="minorHAnsi" w:cs="Calibri"/>
        </w:rPr>
        <w:lastRenderedPageBreak/>
        <w:t>Greek Facebook. </w:t>
      </w:r>
      <w:r w:rsidRPr="00EE361A">
        <w:rPr>
          <w:rFonts w:asciiTheme="minorHAnsi" w:hAnsiTheme="minorHAnsi" w:cs="Calibri"/>
          <w:i/>
          <w:iCs/>
        </w:rPr>
        <w:t>Online Media and Global Communication</w:t>
      </w:r>
      <w:r w:rsidRPr="00EE361A">
        <w:rPr>
          <w:rFonts w:asciiTheme="minorHAnsi" w:hAnsiTheme="minorHAnsi" w:cs="Calibri"/>
        </w:rPr>
        <w:t>, </w:t>
      </w:r>
      <w:r w:rsidRPr="00EE361A">
        <w:rPr>
          <w:rFonts w:asciiTheme="minorHAnsi" w:hAnsiTheme="minorHAnsi" w:cs="Calibri"/>
          <w:i/>
          <w:iCs/>
        </w:rPr>
        <w:t>3</w:t>
      </w:r>
      <w:r w:rsidRPr="00EE361A">
        <w:rPr>
          <w:rFonts w:asciiTheme="minorHAnsi" w:hAnsiTheme="minorHAnsi" w:cs="Calibri"/>
        </w:rPr>
        <w:t>(2), 235-260.</w:t>
      </w:r>
    </w:p>
    <w:p w14:paraId="69CE3D46"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Ginsburg, Tom, and Mila Versteeg. 2021. ‘The Bound Executive: Emergency Powers during the Pandemic’. </w:t>
      </w:r>
      <w:r w:rsidRPr="00EE361A">
        <w:rPr>
          <w:rFonts w:asciiTheme="minorHAnsi" w:hAnsiTheme="minorHAnsi" w:cs="Calibri"/>
          <w:i/>
          <w:iCs/>
        </w:rPr>
        <w:t>International Journal of Constitutional Law</w:t>
      </w:r>
      <w:r w:rsidRPr="00EE361A">
        <w:rPr>
          <w:rFonts w:asciiTheme="minorHAnsi" w:hAnsiTheme="minorHAnsi" w:cs="Calibri"/>
        </w:rPr>
        <w:t xml:space="preserve"> 19(5):1498–1535. doi: 10.1093/icon/moab059.</w:t>
      </w:r>
    </w:p>
    <w:p w14:paraId="2FD5889C" w14:textId="454AED96" w:rsidR="00EB4CBD" w:rsidRPr="00EE361A" w:rsidRDefault="00EB4CBD" w:rsidP="00B46B71">
      <w:pPr>
        <w:spacing w:after="240"/>
        <w:ind w:left="720" w:hanging="720"/>
        <w:jc w:val="both"/>
        <w:rPr>
          <w:rFonts w:asciiTheme="minorHAnsi" w:hAnsiTheme="minorHAnsi" w:cs="Calibri"/>
        </w:rPr>
      </w:pPr>
      <w:r w:rsidRPr="00EE361A">
        <w:rPr>
          <w:rFonts w:asciiTheme="minorHAnsi" w:hAnsiTheme="minorHAnsi" w:cs="Calibri"/>
        </w:rPr>
        <w:t>Giritli Nygren, K., &amp; Olofsson, A. (2020). Managing the Covid-19 pandemic through individual responsibility: the consequences of a world risk society and enhanced ethopolitics. </w:t>
      </w:r>
      <w:r w:rsidRPr="00EE361A">
        <w:rPr>
          <w:rFonts w:asciiTheme="minorHAnsi" w:hAnsiTheme="minorHAnsi" w:cs="Calibri"/>
          <w:i/>
          <w:iCs/>
        </w:rPr>
        <w:t>Journal of Risk Research</w:t>
      </w:r>
      <w:r w:rsidRPr="00EE361A">
        <w:rPr>
          <w:rFonts w:asciiTheme="minorHAnsi" w:hAnsiTheme="minorHAnsi" w:cs="Calibri"/>
        </w:rPr>
        <w:t>, </w:t>
      </w:r>
      <w:r w:rsidRPr="00EE361A">
        <w:rPr>
          <w:rFonts w:asciiTheme="minorHAnsi" w:hAnsiTheme="minorHAnsi" w:cs="Calibri"/>
          <w:i/>
          <w:iCs/>
        </w:rPr>
        <w:t>23</w:t>
      </w:r>
      <w:r w:rsidRPr="00EE361A">
        <w:rPr>
          <w:rFonts w:asciiTheme="minorHAnsi" w:hAnsiTheme="minorHAnsi" w:cs="Calibri"/>
        </w:rPr>
        <w:t>(7–8), 1031–1035. https://doi.org/10.1080/13669877.2020.1756382</w:t>
      </w:r>
    </w:p>
    <w:p w14:paraId="473851C6"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Heitmeyer, Wilhelm. 2024. ‘Decades of Insecurity and Crisis. Authoritarian Temptations Have Reached the Open Society’. Pp. 31–46 in </w:t>
      </w:r>
      <w:r w:rsidRPr="00EE361A">
        <w:rPr>
          <w:rFonts w:asciiTheme="minorHAnsi" w:hAnsiTheme="minorHAnsi" w:cs="Calibri"/>
          <w:i/>
          <w:iCs/>
        </w:rPr>
        <w:t>Authoritarian Temptations and Right-Wing Threat Alliance: The Crisis of Capitalistic Societies in an Uncertain Future</w:t>
      </w:r>
      <w:r w:rsidRPr="00EE361A">
        <w:rPr>
          <w:rFonts w:asciiTheme="minorHAnsi" w:hAnsiTheme="minorHAnsi" w:cs="Calibri"/>
        </w:rPr>
        <w:t>, edited by W. Heitmeyer. Cham: Springer Nature Switzerland.</w:t>
      </w:r>
    </w:p>
    <w:p w14:paraId="394ACB20"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Hrbková, Lenka, and Aleš Kudrnáč. 2024. ‘Fear, Trust, and Compliance with COVID-19 Measures: A Study of the Mediating Effect of Trust in Government on the Relationship between Fear and Compliance’. </w:t>
      </w:r>
      <w:r w:rsidRPr="00EE361A">
        <w:rPr>
          <w:rFonts w:asciiTheme="minorHAnsi" w:hAnsiTheme="minorHAnsi" w:cs="Calibri"/>
          <w:i/>
          <w:iCs/>
        </w:rPr>
        <w:t>Journal of Public Policy</w:t>
      </w:r>
      <w:r w:rsidRPr="00EE361A">
        <w:rPr>
          <w:rFonts w:asciiTheme="minorHAnsi" w:hAnsiTheme="minorHAnsi" w:cs="Calibri"/>
        </w:rPr>
        <w:t xml:space="preserve"> 44(3):527–45. doi:10.1017/S0143814X24000059.</w:t>
      </w:r>
    </w:p>
    <w:p w14:paraId="356D741F" w14:textId="0018A71A" w:rsidR="00B46B71" w:rsidRPr="00EE361A" w:rsidRDefault="00EB4CBD" w:rsidP="00B46B71">
      <w:pPr>
        <w:spacing w:after="240"/>
        <w:ind w:left="720" w:hanging="720"/>
        <w:jc w:val="both"/>
        <w:rPr>
          <w:rFonts w:asciiTheme="minorHAnsi" w:hAnsiTheme="minorHAnsi" w:cs="Calibri"/>
        </w:rPr>
      </w:pPr>
      <w:r w:rsidRPr="00EE361A">
        <w:rPr>
          <w:rFonts w:asciiTheme="minorHAnsi" w:hAnsiTheme="minorHAnsi" w:cs="Calibri"/>
        </w:rPr>
        <w:t>Ivankova, N. V., Creswell, J. W., &amp; Stick, S. L. (2006). Using Mixed-Methods Sequential Explanatory Design: From Theory to Practice. </w:t>
      </w:r>
      <w:r w:rsidRPr="00EE361A">
        <w:rPr>
          <w:rFonts w:asciiTheme="minorHAnsi" w:hAnsiTheme="minorHAnsi" w:cs="Calibri"/>
          <w:i/>
          <w:iCs/>
        </w:rPr>
        <w:t>Field Methods</w:t>
      </w:r>
      <w:r w:rsidRPr="00EE361A">
        <w:rPr>
          <w:rFonts w:asciiTheme="minorHAnsi" w:hAnsiTheme="minorHAnsi" w:cs="Calibri"/>
        </w:rPr>
        <w:t>, </w:t>
      </w:r>
      <w:r w:rsidRPr="00EE361A">
        <w:rPr>
          <w:rFonts w:asciiTheme="minorHAnsi" w:hAnsiTheme="minorHAnsi" w:cs="Calibri"/>
          <w:i/>
          <w:iCs/>
        </w:rPr>
        <w:t>18</w:t>
      </w:r>
      <w:r w:rsidRPr="00EE361A">
        <w:rPr>
          <w:rFonts w:asciiTheme="minorHAnsi" w:hAnsiTheme="minorHAnsi" w:cs="Calibri"/>
        </w:rPr>
        <w:t>(1), 3-20. </w:t>
      </w:r>
      <w:hyperlink r:id="rId11" w:history="1">
        <w:r w:rsidRPr="00EE361A">
          <w:rPr>
            <w:rStyle w:val="Collegamentoipertestuale"/>
            <w:rFonts w:asciiTheme="minorHAnsi" w:hAnsiTheme="minorHAnsi" w:cs="Calibri"/>
          </w:rPr>
          <w:t>https://doi.org/10.1177/1525822X05282260</w:t>
        </w:r>
      </w:hyperlink>
      <w:r w:rsidRPr="00EE361A">
        <w:rPr>
          <w:rFonts w:asciiTheme="minorHAnsi" w:hAnsiTheme="minorHAnsi" w:cs="Calibri"/>
        </w:rPr>
        <w:t> </w:t>
      </w:r>
      <w:r w:rsidR="00B46B71" w:rsidRPr="00EE361A">
        <w:rPr>
          <w:rFonts w:asciiTheme="minorHAnsi" w:hAnsiTheme="minorHAnsi" w:cs="Calibri"/>
        </w:rPr>
        <w:t>Kalogeropoulos, A. (2022, June 15). </w:t>
      </w:r>
      <w:r w:rsidR="00B46B71" w:rsidRPr="00EE361A">
        <w:rPr>
          <w:rFonts w:asciiTheme="minorHAnsi" w:hAnsiTheme="minorHAnsi" w:cs="Calibri"/>
          <w:i/>
          <w:iCs/>
        </w:rPr>
        <w:t>Greece</w:t>
      </w:r>
      <w:r w:rsidR="00B46B71" w:rsidRPr="00EE361A">
        <w:rPr>
          <w:rFonts w:asciiTheme="minorHAnsi" w:hAnsiTheme="minorHAnsi" w:cs="Calibri"/>
        </w:rPr>
        <w:t>. Reuters Institute for the Study of Journalism. https://reutersinstitute.politics.ox.ac.uk/digital-news-report/2022/greece</w:t>
      </w:r>
    </w:p>
    <w:p w14:paraId="567B1262"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Karyotakis, M. A. (2024). Exercising control in media during Covid-19: the “Stay at Home” campaign on Twitter in Greece. Humanities and Social Sciences Communications, 11(1), 1-9. https://doi.org/10.1057/s41599-024-03240-w</w:t>
      </w:r>
    </w:p>
    <w:p w14:paraId="4A7D27E5" w14:textId="53DDCB29"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Katsampekis, G., &amp; Stavrakakis, Y. (2020). Populism and the pandemic: A collaborative report.</w:t>
      </w:r>
      <w:r w:rsidRPr="00EE361A">
        <w:rPr>
          <w:rFonts w:asciiTheme="minorHAnsi" w:hAnsiTheme="minorHAnsi" w:cs="Calibri"/>
          <w:b/>
          <w:bCs/>
          <w:i/>
          <w:iCs/>
          <w:sz w:val="32"/>
          <w:szCs w:val="32"/>
        </w:rPr>
        <w:t xml:space="preserve"> </w:t>
      </w:r>
      <w:r w:rsidRPr="00EE361A">
        <w:rPr>
          <w:rFonts w:asciiTheme="minorHAnsi" w:hAnsiTheme="minorHAnsi" w:cs="Calibri"/>
          <w:i/>
          <w:iCs/>
        </w:rPr>
        <w:t>POPULISMUS Interventions No. 7 (special edition)</w:t>
      </w:r>
      <w:r w:rsidRPr="00EE361A">
        <w:rPr>
          <w:rFonts w:asciiTheme="minorHAnsi" w:hAnsiTheme="minorHAnsi" w:cs="Calibri"/>
        </w:rPr>
        <w:t>. Thessaloniki. Available at: https://repository.lboro.ac.uk/articles/Populism_and_the_pandemic_A_collaborative_report/12546284/files/23348261.pdf</w:t>
      </w:r>
    </w:p>
    <w:p w14:paraId="3E70646B"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Kneuer, M., &amp; Wallaschek, S. (2023). Framing COVID-19: Public leadership and crisis communication by chancellor Angela Merkel during the pandemic in 2020. </w:t>
      </w:r>
      <w:r w:rsidRPr="00EE361A">
        <w:rPr>
          <w:rFonts w:asciiTheme="minorHAnsi" w:hAnsiTheme="minorHAnsi" w:cs="Calibri"/>
          <w:i/>
          <w:iCs/>
        </w:rPr>
        <w:t>German Politics</w:t>
      </w:r>
      <w:r w:rsidRPr="00EE361A">
        <w:rPr>
          <w:rFonts w:asciiTheme="minorHAnsi" w:hAnsiTheme="minorHAnsi" w:cs="Calibri"/>
        </w:rPr>
        <w:t>, </w:t>
      </w:r>
      <w:r w:rsidRPr="00EE361A">
        <w:rPr>
          <w:rFonts w:asciiTheme="minorHAnsi" w:hAnsiTheme="minorHAnsi" w:cs="Calibri"/>
          <w:i/>
          <w:iCs/>
        </w:rPr>
        <w:t>32</w:t>
      </w:r>
      <w:r w:rsidRPr="00EE361A">
        <w:rPr>
          <w:rFonts w:asciiTheme="minorHAnsi" w:hAnsiTheme="minorHAnsi" w:cs="Calibri"/>
        </w:rPr>
        <w:t xml:space="preserve">(4), 686-709. doi: 10.1080/09644008.2022.2028140. </w:t>
      </w:r>
    </w:p>
    <w:p w14:paraId="78C929BF"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Kouki, H., &amp; Liakos, A. (2015). Narrating the story of a failed national transition: discourses on the Greek crisis, 2010–2014. </w:t>
      </w:r>
      <w:r w:rsidRPr="00EE361A">
        <w:rPr>
          <w:rFonts w:asciiTheme="minorHAnsi" w:hAnsiTheme="minorHAnsi" w:cs="Calibri"/>
          <w:i/>
          <w:iCs/>
        </w:rPr>
        <w:t>Historein</w:t>
      </w:r>
      <w:r w:rsidRPr="00EE361A">
        <w:rPr>
          <w:rFonts w:asciiTheme="minorHAnsi" w:hAnsiTheme="minorHAnsi" w:cs="Calibri"/>
        </w:rPr>
        <w:t xml:space="preserve">, </w:t>
      </w:r>
      <w:r w:rsidRPr="00EE361A">
        <w:rPr>
          <w:rFonts w:asciiTheme="minorHAnsi" w:hAnsiTheme="minorHAnsi" w:cs="Calibri"/>
          <w:i/>
          <w:iCs/>
        </w:rPr>
        <w:t>15</w:t>
      </w:r>
      <w:r w:rsidRPr="00EE361A">
        <w:rPr>
          <w:rFonts w:asciiTheme="minorHAnsi" w:hAnsiTheme="minorHAnsi" w:cs="Calibri"/>
        </w:rPr>
        <w:t xml:space="preserve">(1), 49-61. </w:t>
      </w:r>
      <w:hyperlink r:id="rId12" w:history="1">
        <w:r w:rsidRPr="00EE361A">
          <w:rPr>
            <w:rFonts w:asciiTheme="minorHAnsi" w:hAnsiTheme="minorHAnsi" w:cs="Calibri"/>
            <w:color w:val="0000FF"/>
            <w:u w:val="single"/>
          </w:rPr>
          <w:t xml:space="preserve">https://doi.org/10.12681/historein.318 </w:t>
        </w:r>
      </w:hyperlink>
    </w:p>
    <w:p w14:paraId="58536C29"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lastRenderedPageBreak/>
        <w:t>Koopmans, R., &amp; Statham, P. (1999). Political claims analysis: Integrating protest event and political discourse approaches. </w:t>
      </w:r>
      <w:r w:rsidRPr="00EE361A">
        <w:rPr>
          <w:rFonts w:asciiTheme="minorHAnsi" w:hAnsiTheme="minorHAnsi" w:cs="Calibri"/>
          <w:i/>
          <w:iCs/>
        </w:rPr>
        <w:t>Mobilization: an international quarterly</w:t>
      </w:r>
      <w:r w:rsidRPr="00EE361A">
        <w:rPr>
          <w:rFonts w:asciiTheme="minorHAnsi" w:hAnsiTheme="minorHAnsi" w:cs="Calibri"/>
        </w:rPr>
        <w:t>, </w:t>
      </w:r>
      <w:r w:rsidRPr="00EE361A">
        <w:rPr>
          <w:rFonts w:asciiTheme="minorHAnsi" w:hAnsiTheme="minorHAnsi" w:cs="Calibri"/>
          <w:i/>
          <w:iCs/>
        </w:rPr>
        <w:t>4</w:t>
      </w:r>
      <w:r w:rsidRPr="00EE361A">
        <w:rPr>
          <w:rFonts w:asciiTheme="minorHAnsi" w:hAnsiTheme="minorHAnsi" w:cs="Calibri"/>
        </w:rPr>
        <w:t>(2), 203-221. https://doi.org/10.17813/maiq.4.2.d7593370607l6756</w:t>
      </w:r>
    </w:p>
    <w:p w14:paraId="136950C4" w14:textId="77777777" w:rsidR="00B46B71" w:rsidRPr="00EE361A" w:rsidRDefault="00B46B71" w:rsidP="00B46B71">
      <w:pPr>
        <w:rPr>
          <w:rFonts w:asciiTheme="minorHAnsi" w:hAnsiTheme="minorHAnsi" w:cs="Calibri"/>
        </w:rPr>
      </w:pPr>
    </w:p>
    <w:p w14:paraId="4A4C29F2"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Kousi, T., Mitsi, L. C., &amp; Simos, J. (2021). The early stage of COVID-19 outbreak in Greece: a review of the national response and the socioeconomic impact. </w:t>
      </w:r>
      <w:r w:rsidRPr="00EE361A">
        <w:rPr>
          <w:rFonts w:asciiTheme="minorHAnsi" w:hAnsiTheme="minorHAnsi" w:cs="Calibri"/>
          <w:i/>
          <w:iCs/>
        </w:rPr>
        <w:t>International Journal of Environmental Research and Public Health</w:t>
      </w:r>
      <w:r w:rsidRPr="00EE361A">
        <w:rPr>
          <w:rFonts w:asciiTheme="minorHAnsi" w:hAnsiTheme="minorHAnsi" w:cs="Calibri"/>
        </w:rPr>
        <w:t>, </w:t>
      </w:r>
      <w:r w:rsidRPr="00EE361A">
        <w:rPr>
          <w:rFonts w:asciiTheme="minorHAnsi" w:hAnsiTheme="minorHAnsi" w:cs="Calibri"/>
          <w:i/>
          <w:iCs/>
        </w:rPr>
        <w:t>18</w:t>
      </w:r>
      <w:r w:rsidRPr="00EE361A">
        <w:rPr>
          <w:rFonts w:asciiTheme="minorHAnsi" w:hAnsiTheme="minorHAnsi" w:cs="Calibri"/>
        </w:rPr>
        <w:t>(1), 322.</w:t>
      </w:r>
      <w:r w:rsidRPr="00EE361A">
        <w:rPr>
          <w:rFonts w:asciiTheme="minorHAnsi" w:hAnsiTheme="minorHAnsi" w:cs="Calibri"/>
          <w:color w:val="212121"/>
        </w:rPr>
        <w:t xml:space="preserve"> </w:t>
      </w:r>
      <w:r w:rsidRPr="00EE361A">
        <w:rPr>
          <w:rFonts w:asciiTheme="minorHAnsi" w:hAnsiTheme="minorHAnsi" w:cs="Calibri"/>
        </w:rPr>
        <w:t>doi: </w:t>
      </w:r>
      <w:hyperlink r:id="rId13" w:tgtFrame="_blank" w:history="1">
        <w:r w:rsidRPr="00EE361A">
          <w:rPr>
            <w:rFonts w:asciiTheme="minorHAnsi" w:hAnsiTheme="minorHAnsi" w:cs="Calibri"/>
            <w:color w:val="0000FF"/>
            <w:u w:val="single"/>
          </w:rPr>
          <w:t>10.3390/ijerph18010322</w:t>
        </w:r>
      </w:hyperlink>
    </w:p>
    <w:p w14:paraId="6FB65CE2"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Kuhlmann, S., Hellström, M., Ramberg, U., &amp; Reiter, R. (2021). Tracing divergence in crisis governance: responses to the COVID-19 pandemic in France, Germany and Sweden compared. </w:t>
      </w:r>
      <w:r w:rsidRPr="00EE361A">
        <w:rPr>
          <w:rFonts w:asciiTheme="minorHAnsi" w:hAnsiTheme="minorHAnsi" w:cs="Calibri"/>
          <w:i/>
          <w:iCs/>
        </w:rPr>
        <w:t>International Review of Administrative Sciences</w:t>
      </w:r>
      <w:r w:rsidRPr="00EE361A">
        <w:rPr>
          <w:rFonts w:asciiTheme="minorHAnsi" w:hAnsiTheme="minorHAnsi" w:cs="Calibri"/>
        </w:rPr>
        <w:t>, </w:t>
      </w:r>
      <w:r w:rsidRPr="00EE361A">
        <w:rPr>
          <w:rFonts w:asciiTheme="minorHAnsi" w:hAnsiTheme="minorHAnsi" w:cs="Calibri"/>
          <w:i/>
          <w:iCs/>
        </w:rPr>
        <w:t>87</w:t>
      </w:r>
      <w:r w:rsidRPr="00EE361A">
        <w:rPr>
          <w:rFonts w:asciiTheme="minorHAnsi" w:hAnsiTheme="minorHAnsi" w:cs="Calibri"/>
        </w:rPr>
        <w:t>(3), 556-575. doi: 10.1177/0020852320979359.</w:t>
      </w:r>
    </w:p>
    <w:p w14:paraId="42163CAB"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Ladi, S., Angelou, A., &amp; Panagiotatou, D. (2022). Regaining trust: evidence-informed policymaking during the first phase of the Covid-19 crisis in Greece. </w:t>
      </w:r>
      <w:r w:rsidRPr="00EE361A">
        <w:rPr>
          <w:rFonts w:asciiTheme="minorHAnsi" w:hAnsiTheme="minorHAnsi" w:cs="Calibri"/>
          <w:i/>
          <w:iCs/>
        </w:rPr>
        <w:t>South European Society and Politics</w:t>
      </w:r>
      <w:r w:rsidRPr="00EE361A">
        <w:rPr>
          <w:rFonts w:asciiTheme="minorHAnsi" w:hAnsiTheme="minorHAnsi" w:cs="Calibri"/>
        </w:rPr>
        <w:t>, </w:t>
      </w:r>
      <w:r w:rsidRPr="00EE361A">
        <w:rPr>
          <w:rFonts w:asciiTheme="minorHAnsi" w:hAnsiTheme="minorHAnsi" w:cs="Calibri"/>
          <w:i/>
          <w:iCs/>
        </w:rPr>
        <w:t>27</w:t>
      </w:r>
      <w:r w:rsidRPr="00EE361A">
        <w:rPr>
          <w:rFonts w:asciiTheme="minorHAnsi" w:hAnsiTheme="minorHAnsi" w:cs="Calibri"/>
        </w:rPr>
        <w:t>(4), 551-576.</w:t>
      </w:r>
    </w:p>
    <w:p w14:paraId="6A223B9E"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Lahusen, C., Kousis, M., Kiess, J., &amp; Paschou, M. (2016). Political claims and discourse formations: A comparative account on Germany and Greece in the Eurozone crisis. </w:t>
      </w:r>
      <w:r w:rsidRPr="00EE361A">
        <w:rPr>
          <w:rFonts w:asciiTheme="minorHAnsi" w:hAnsiTheme="minorHAnsi" w:cs="Calibri"/>
          <w:i/>
          <w:iCs/>
        </w:rPr>
        <w:t>Politics &amp; Policy</w:t>
      </w:r>
      <w:r w:rsidRPr="00EE361A">
        <w:rPr>
          <w:rFonts w:asciiTheme="minorHAnsi" w:hAnsiTheme="minorHAnsi" w:cs="Calibri"/>
        </w:rPr>
        <w:t xml:space="preserve">, </w:t>
      </w:r>
      <w:r w:rsidRPr="00EE361A">
        <w:rPr>
          <w:rFonts w:asciiTheme="minorHAnsi" w:hAnsiTheme="minorHAnsi" w:cs="Calibri"/>
          <w:i/>
          <w:iCs/>
        </w:rPr>
        <w:t>44</w:t>
      </w:r>
      <w:r w:rsidRPr="00EE361A">
        <w:rPr>
          <w:rFonts w:asciiTheme="minorHAnsi" w:hAnsiTheme="minorHAnsi" w:cs="Calibri"/>
        </w:rPr>
        <w:t>(3), 525-552. doi: https://doi.org/10.1111/polp.12162</w:t>
      </w:r>
    </w:p>
    <w:p w14:paraId="3E5611E3"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Lengauer, G., Esser, F., &amp; Berganza, R. (2012). Negativity in political news: A review of concepts, operationalizations and key findings. </w:t>
      </w:r>
      <w:r w:rsidRPr="00EE361A">
        <w:rPr>
          <w:rFonts w:asciiTheme="minorHAnsi" w:hAnsiTheme="minorHAnsi" w:cs="Calibri"/>
          <w:i/>
          <w:iCs/>
        </w:rPr>
        <w:t>Journalism</w:t>
      </w:r>
      <w:r w:rsidRPr="00EE361A">
        <w:rPr>
          <w:rFonts w:asciiTheme="minorHAnsi" w:hAnsiTheme="minorHAnsi" w:cs="Calibri"/>
        </w:rPr>
        <w:t>, </w:t>
      </w:r>
      <w:r w:rsidRPr="00EE361A">
        <w:rPr>
          <w:rFonts w:asciiTheme="minorHAnsi" w:hAnsiTheme="minorHAnsi" w:cs="Calibri"/>
          <w:i/>
          <w:iCs/>
        </w:rPr>
        <w:t>13</w:t>
      </w:r>
      <w:r w:rsidRPr="00EE361A">
        <w:rPr>
          <w:rFonts w:asciiTheme="minorHAnsi" w:hAnsiTheme="minorHAnsi" w:cs="Calibri"/>
        </w:rPr>
        <w:t>(2), 179-202. doi: 10.1177/1464884911427800.</w:t>
      </w:r>
    </w:p>
    <w:p w14:paraId="73830AAC" w14:textId="40EDB6C2" w:rsidR="00EB4CBD" w:rsidRPr="00EE361A" w:rsidRDefault="00EB4CBD" w:rsidP="00B46B71">
      <w:pPr>
        <w:spacing w:after="240"/>
        <w:ind w:left="720" w:hanging="720"/>
        <w:jc w:val="both"/>
        <w:rPr>
          <w:rFonts w:asciiTheme="minorHAnsi" w:hAnsiTheme="minorHAnsi" w:cs="Calibri"/>
        </w:rPr>
      </w:pPr>
      <w:r w:rsidRPr="00EE361A">
        <w:rPr>
          <w:rFonts w:asciiTheme="minorHAnsi" w:hAnsiTheme="minorHAnsi" w:cs="Calibri"/>
        </w:rPr>
        <w:t>Loner, E., Fattorini, E., &amp; Bucchi, M. (2023). The role of science in a crisis: Talks by political leaders during the COVID-19 pandemic. </w:t>
      </w:r>
      <w:r w:rsidRPr="00EE361A">
        <w:rPr>
          <w:rFonts w:asciiTheme="minorHAnsi" w:hAnsiTheme="minorHAnsi" w:cs="Calibri"/>
          <w:i/>
          <w:iCs/>
        </w:rPr>
        <w:t>PloS one</w:t>
      </w:r>
      <w:r w:rsidRPr="00EE361A">
        <w:rPr>
          <w:rFonts w:asciiTheme="minorHAnsi" w:hAnsiTheme="minorHAnsi" w:cs="Calibri"/>
        </w:rPr>
        <w:t>, </w:t>
      </w:r>
      <w:r w:rsidRPr="00EE361A">
        <w:rPr>
          <w:rFonts w:asciiTheme="minorHAnsi" w:hAnsiTheme="minorHAnsi" w:cs="Calibri"/>
          <w:i/>
          <w:iCs/>
        </w:rPr>
        <w:t>18</w:t>
      </w:r>
      <w:r w:rsidRPr="00EE361A">
        <w:rPr>
          <w:rFonts w:asciiTheme="minorHAnsi" w:hAnsiTheme="minorHAnsi" w:cs="Calibri"/>
        </w:rPr>
        <w:t>(3), e0282529. https://doi.org/10.1371/journal.pone.0282529</w:t>
      </w:r>
    </w:p>
    <w:p w14:paraId="06F9041D"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Lowande, K., &amp; Rogowski, J. C. (2021). Executive power in crisis. </w:t>
      </w:r>
      <w:r w:rsidRPr="00EE361A">
        <w:rPr>
          <w:rFonts w:asciiTheme="minorHAnsi" w:hAnsiTheme="minorHAnsi" w:cs="Calibri"/>
          <w:i/>
          <w:iCs/>
        </w:rPr>
        <w:t>American Political Science Review</w:t>
      </w:r>
      <w:r w:rsidRPr="00EE361A">
        <w:rPr>
          <w:rFonts w:asciiTheme="minorHAnsi" w:hAnsiTheme="minorHAnsi" w:cs="Calibri"/>
        </w:rPr>
        <w:t>, </w:t>
      </w:r>
      <w:r w:rsidRPr="00EE361A">
        <w:rPr>
          <w:rFonts w:asciiTheme="minorHAnsi" w:hAnsiTheme="minorHAnsi" w:cs="Calibri"/>
          <w:i/>
          <w:iCs/>
        </w:rPr>
        <w:t>115</w:t>
      </w:r>
      <w:r w:rsidRPr="00EE361A">
        <w:rPr>
          <w:rFonts w:asciiTheme="minorHAnsi" w:hAnsiTheme="minorHAnsi" w:cs="Calibri"/>
        </w:rPr>
        <w:t xml:space="preserve">(4), 1406-1423. doi: 10.1017/S0003055421000447. </w:t>
      </w:r>
    </w:p>
    <w:p w14:paraId="1A1F8D6D"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Lyrintzis, C. (2011). </w:t>
      </w:r>
      <w:r w:rsidRPr="00EE361A">
        <w:rPr>
          <w:rFonts w:asciiTheme="minorHAnsi" w:hAnsiTheme="minorHAnsi" w:cs="Calibri"/>
          <w:i/>
          <w:iCs/>
        </w:rPr>
        <w:t>Greek Politics in the Era of Economic Crisis: Reassessing Causes and Effects</w:t>
      </w:r>
      <w:r w:rsidRPr="00EE361A">
        <w:rPr>
          <w:rFonts w:asciiTheme="minorHAnsi" w:hAnsiTheme="minorHAnsi" w:cs="Calibri"/>
        </w:rPr>
        <w:t>. </w:t>
      </w:r>
      <w:r w:rsidRPr="00EE361A">
        <w:rPr>
          <w:rFonts w:asciiTheme="minorHAnsi" w:hAnsiTheme="minorHAnsi" w:cs="Calibri"/>
          <w:i/>
          <w:iCs/>
        </w:rPr>
        <w:t>Hellenic Observatory Papers on Greece and Southeast Europe (GreeSE Paper No. 45)</w:t>
      </w:r>
      <w:r w:rsidRPr="00EE361A">
        <w:rPr>
          <w:rFonts w:asciiTheme="minorHAnsi" w:hAnsiTheme="minorHAnsi" w:cs="Calibri"/>
        </w:rPr>
        <w:t>. London: UK: The Hellenic Observatory, London School of Economics and Political Science.</w:t>
      </w:r>
    </w:p>
    <w:p w14:paraId="468B50A8"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Markaki, E. N., &amp; Chadjipadelis, T. (2023). The Greek Government’s Pandemic Policy towards Covid-19 as a Parameter of Political Competition through Different Media Channels. Game Theory Application as a Conceptual Framework for the Decision Making Process. </w:t>
      </w:r>
      <w:r w:rsidRPr="00EE361A">
        <w:rPr>
          <w:rFonts w:asciiTheme="minorHAnsi" w:hAnsiTheme="minorHAnsi" w:cs="Calibri"/>
          <w:i/>
          <w:iCs/>
        </w:rPr>
        <w:t>European Scientific Journal, ESJ</w:t>
      </w:r>
      <w:r w:rsidRPr="00EE361A">
        <w:rPr>
          <w:rFonts w:asciiTheme="minorHAnsi" w:hAnsiTheme="minorHAnsi" w:cs="Calibri"/>
        </w:rPr>
        <w:t xml:space="preserve">, </w:t>
      </w:r>
      <w:r w:rsidRPr="00EE361A">
        <w:rPr>
          <w:rFonts w:asciiTheme="minorHAnsi" w:hAnsiTheme="minorHAnsi" w:cs="Calibri"/>
          <w:i/>
          <w:iCs/>
        </w:rPr>
        <w:t>19</w:t>
      </w:r>
      <w:r w:rsidRPr="00EE361A">
        <w:rPr>
          <w:rFonts w:asciiTheme="minorHAnsi" w:hAnsiTheme="minorHAnsi" w:cs="Calibri"/>
        </w:rPr>
        <w:t>(38), 70. https://doi.org/10.19044/esj.2023.v19n38p70</w:t>
      </w:r>
    </w:p>
    <w:p w14:paraId="69A227F4"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Massou, E., Tsouvelas, G., &amp; Prodromitis, G. (2023). Public trust, conspiracy theories and political ideology in the COVID-19 era: A cross-sectional </w:t>
      </w:r>
      <w:r w:rsidRPr="00EE361A">
        <w:rPr>
          <w:rFonts w:asciiTheme="minorHAnsi" w:hAnsiTheme="minorHAnsi" w:cs="Calibri"/>
        </w:rPr>
        <w:lastRenderedPageBreak/>
        <w:t xml:space="preserve">Greek study. </w:t>
      </w:r>
      <w:r w:rsidRPr="00EE361A">
        <w:rPr>
          <w:rFonts w:asciiTheme="minorHAnsi" w:hAnsiTheme="minorHAnsi" w:cs="Calibri"/>
          <w:i/>
          <w:iCs/>
        </w:rPr>
        <w:t>Social Sciences &amp; Humanities Open</w:t>
      </w:r>
      <w:r w:rsidRPr="00EE361A">
        <w:rPr>
          <w:rFonts w:asciiTheme="minorHAnsi" w:hAnsiTheme="minorHAnsi" w:cs="Calibri"/>
        </w:rPr>
        <w:t xml:space="preserve">, </w:t>
      </w:r>
      <w:r w:rsidRPr="00EE361A">
        <w:rPr>
          <w:rFonts w:asciiTheme="minorHAnsi" w:hAnsiTheme="minorHAnsi" w:cs="Calibri"/>
          <w:i/>
          <w:iCs/>
        </w:rPr>
        <w:t>8</w:t>
      </w:r>
      <w:r w:rsidRPr="00EE361A">
        <w:rPr>
          <w:rFonts w:asciiTheme="minorHAnsi" w:hAnsiTheme="minorHAnsi" w:cs="Calibri"/>
        </w:rPr>
        <w:t xml:space="preserve">(1), 100715. doi: </w:t>
      </w:r>
      <w:hyperlink r:id="rId14" w:tgtFrame="_blank" w:tooltip="Persistent link using digital object identifier" w:history="1">
        <w:r w:rsidRPr="00EE361A">
          <w:rPr>
            <w:rFonts w:asciiTheme="minorHAnsi" w:hAnsiTheme="minorHAnsi" w:cs="Calibri"/>
            <w:color w:val="0000FF"/>
            <w:u w:val="single"/>
          </w:rPr>
          <w:t>https://doi.org/10.1016/j.ssaho.2023.100715</w:t>
        </w:r>
      </w:hyperlink>
      <w:r w:rsidRPr="00EE361A">
        <w:rPr>
          <w:rFonts w:asciiTheme="minorHAnsi" w:hAnsiTheme="minorHAnsi" w:cs="Calibri"/>
        </w:rPr>
        <w:t xml:space="preserve"> </w:t>
      </w:r>
    </w:p>
    <w:p w14:paraId="0CE39D33"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Michailidou, A., &amp; Trenz, H. J. (2021). Rethinking journalism standards in the era of post-truth politics: from truth keepers to truth mediators. </w:t>
      </w:r>
      <w:r w:rsidRPr="00EE361A">
        <w:rPr>
          <w:rFonts w:asciiTheme="minorHAnsi" w:hAnsiTheme="minorHAnsi" w:cs="Calibri"/>
          <w:i/>
          <w:iCs/>
        </w:rPr>
        <w:t>Media, Culture &amp; Society</w:t>
      </w:r>
      <w:r w:rsidRPr="00EE361A">
        <w:rPr>
          <w:rFonts w:asciiTheme="minorHAnsi" w:hAnsiTheme="minorHAnsi" w:cs="Calibri"/>
        </w:rPr>
        <w:t>, </w:t>
      </w:r>
      <w:r w:rsidRPr="00EE361A">
        <w:rPr>
          <w:rFonts w:asciiTheme="minorHAnsi" w:hAnsiTheme="minorHAnsi" w:cs="Calibri"/>
          <w:i/>
          <w:iCs/>
        </w:rPr>
        <w:t>43</w:t>
      </w:r>
      <w:r w:rsidRPr="00EE361A">
        <w:rPr>
          <w:rFonts w:asciiTheme="minorHAnsi" w:hAnsiTheme="minorHAnsi" w:cs="Calibri"/>
        </w:rPr>
        <w:t>(7), 1340-1349. doi: 10.1177/01634437211040669.</w:t>
      </w:r>
    </w:p>
    <w:p w14:paraId="1312740A" w14:textId="77777777" w:rsidR="00B46B71" w:rsidRPr="00EE361A" w:rsidRDefault="00B46B71" w:rsidP="00B46B71">
      <w:pPr>
        <w:rPr>
          <w:rFonts w:asciiTheme="minorHAnsi" w:hAnsiTheme="minorHAnsi" w:cs="Calibri"/>
        </w:rPr>
      </w:pPr>
    </w:p>
    <w:p w14:paraId="45FA5430"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Minotakis, A., &amp; Tastsoglou, M. (2023). Framing expertise: Greek media representations of experts during the COVID-19 pandemic. </w:t>
      </w:r>
      <w:r w:rsidRPr="00EE361A">
        <w:rPr>
          <w:rFonts w:asciiTheme="minorHAnsi" w:hAnsiTheme="minorHAnsi" w:cs="Calibri"/>
          <w:i/>
          <w:iCs/>
        </w:rPr>
        <w:t>Journal of Applied Journalism &amp; Media Studies</w:t>
      </w:r>
      <w:r w:rsidRPr="00EE361A">
        <w:rPr>
          <w:rFonts w:asciiTheme="minorHAnsi" w:hAnsiTheme="minorHAnsi" w:cs="Calibri"/>
        </w:rPr>
        <w:t>.</w:t>
      </w:r>
    </w:p>
    <w:p w14:paraId="2F7C83E4"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Newman, N., Fletcher, R., Robertson, C. T., Eddy, K., &amp; Nielsen, R. K. (2022). Reuters Institute digital news report 2022. Reuters Institute for the Study of Journalism. https://doi.org/10.60625/RISJ-X1GN-M549</w:t>
      </w:r>
    </w:p>
    <w:p w14:paraId="56DC7C1F" w14:textId="77777777" w:rsidR="00B46B71" w:rsidRPr="00EE361A" w:rsidRDefault="00B46B71" w:rsidP="00B46B71">
      <w:pPr>
        <w:rPr>
          <w:rFonts w:asciiTheme="minorHAnsi" w:hAnsiTheme="minorHAnsi" w:cs="Calibri"/>
        </w:rPr>
      </w:pPr>
    </w:p>
    <w:p w14:paraId="09C0E12C"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Paschou, M., Loukakis, A., Kousis, M. (2022). Political Claims and the So Called ‘Refugee Crisis’ in the Greek Public Sphere, 2015–16. In: Kousis, M., Chatzidaki, A., Kafetsios, K. (eds) Challenging Mobilities in and to the EU during Times of Crises. IMISCOE Research Series. Springer, Cham. https://doi.org/10.1007/978-3-031-11574-5_7</w:t>
      </w:r>
    </w:p>
    <w:p w14:paraId="478AF893" w14:textId="77777777" w:rsidR="00B46B71" w:rsidRPr="00EE361A" w:rsidRDefault="00B46B71" w:rsidP="00B46B71">
      <w:pPr>
        <w:spacing w:after="240"/>
        <w:ind w:left="720" w:hanging="720"/>
        <w:jc w:val="both"/>
        <w:rPr>
          <w:rFonts w:asciiTheme="minorHAnsi" w:eastAsia="Calibri" w:hAnsiTheme="minorHAnsi" w:cs="Calibri"/>
          <w:kern w:val="2"/>
          <w:lang w:eastAsia="en-US"/>
          <w14:ligatures w14:val="standardContextual"/>
        </w:rPr>
      </w:pPr>
      <w:r w:rsidRPr="00EE361A">
        <w:rPr>
          <w:rFonts w:asciiTheme="minorHAnsi" w:hAnsiTheme="minorHAnsi" w:cs="Calibri"/>
        </w:rPr>
        <w:t>Papadopoulou, L., &amp; Maniou, T. A. (2021). ‘Lockdown’ on Digital Journalism? Mapping Threats to Press Freedom during the COVID-19 Pandemic Crisis. </w:t>
      </w:r>
      <w:r w:rsidRPr="00EE361A">
        <w:rPr>
          <w:rFonts w:asciiTheme="minorHAnsi" w:hAnsiTheme="minorHAnsi" w:cs="Calibri"/>
          <w:i/>
          <w:iCs/>
        </w:rPr>
        <w:t>Digital Journalism</w:t>
      </w:r>
      <w:r w:rsidRPr="00EE361A">
        <w:rPr>
          <w:rFonts w:asciiTheme="minorHAnsi" w:hAnsiTheme="minorHAnsi" w:cs="Calibri"/>
        </w:rPr>
        <w:t>, </w:t>
      </w:r>
      <w:r w:rsidRPr="00EE361A">
        <w:rPr>
          <w:rFonts w:asciiTheme="minorHAnsi" w:hAnsiTheme="minorHAnsi" w:cs="Calibri"/>
          <w:i/>
          <w:iCs/>
        </w:rPr>
        <w:t>9</w:t>
      </w:r>
      <w:r w:rsidRPr="00EE361A">
        <w:rPr>
          <w:rFonts w:asciiTheme="minorHAnsi" w:hAnsiTheme="minorHAnsi" w:cs="Calibri"/>
        </w:rPr>
        <w:t>(9), 1344–1366. https://doi.org/10.1080/21670811.2021.1945472</w:t>
      </w:r>
      <w:r w:rsidRPr="00EE361A">
        <w:rPr>
          <w:rFonts w:asciiTheme="minorHAnsi" w:eastAsia="Calibri" w:hAnsiTheme="minorHAnsi" w:cs="Calibri"/>
          <w:kern w:val="2"/>
          <w:lang w:eastAsia="en-US"/>
          <w14:ligatures w14:val="standardContextual"/>
        </w:rPr>
        <w:t xml:space="preserve"> </w:t>
      </w:r>
    </w:p>
    <w:p w14:paraId="396F03F5"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Papathanassopoulos, S., Armenakis, A., &amp; Karadimitriou, A. (2022). The Greeks and the COVID-19 Pandemic: Assessing the Credibility and Effectiveness of the Main Social Institutions and Public Sphere Players. In </w:t>
      </w:r>
      <w:r w:rsidRPr="00EE361A">
        <w:rPr>
          <w:rFonts w:asciiTheme="minorHAnsi" w:hAnsiTheme="minorHAnsi" w:cs="Calibri"/>
          <w:i/>
          <w:iCs/>
        </w:rPr>
        <w:t>Manufacturing Government Communication on Covid-19: A Comparative Perspective</w:t>
      </w:r>
      <w:r w:rsidRPr="00EE361A">
        <w:rPr>
          <w:rFonts w:asciiTheme="minorHAnsi" w:hAnsiTheme="minorHAnsi" w:cs="Calibri"/>
        </w:rPr>
        <w:t> (pp. 275-299). Cham: Springer International Publishing.</w:t>
      </w:r>
    </w:p>
    <w:p w14:paraId="20902AEC" w14:textId="77777777" w:rsidR="00B46B71" w:rsidRPr="00EE361A" w:rsidRDefault="00B46B71" w:rsidP="00B46B71">
      <w:pPr>
        <w:spacing w:after="240"/>
        <w:ind w:left="720" w:hanging="720"/>
        <w:rPr>
          <w:rFonts w:asciiTheme="minorHAnsi" w:eastAsia="Calibri" w:hAnsiTheme="minorHAnsi" w:cs="Calibri"/>
          <w:kern w:val="2"/>
          <w:lang w:eastAsia="en-US"/>
          <w14:ligatures w14:val="standardContextual"/>
        </w:rPr>
      </w:pPr>
      <w:r w:rsidRPr="00EE361A">
        <w:rPr>
          <w:rFonts w:asciiTheme="minorHAnsi" w:hAnsiTheme="minorHAnsi" w:cs="Calibri"/>
        </w:rPr>
        <w:t xml:space="preserve">Poulakidakos, S. (2021). Media events, speech events and propagandistic techniques of legitimation: a multimodal analysis of the Greek Prime Minister Kyriakos Mitsotakis’ public addresses on the SARS-CoV-2 pandemic. </w:t>
      </w:r>
      <w:r w:rsidRPr="00EE361A">
        <w:rPr>
          <w:rFonts w:asciiTheme="minorHAnsi" w:hAnsiTheme="minorHAnsi" w:cs="Calibri"/>
          <w:i/>
          <w:iCs/>
        </w:rPr>
        <w:t>Humanit Soc Sci Commun</w:t>
      </w:r>
      <w:r w:rsidRPr="00EE361A">
        <w:rPr>
          <w:rFonts w:asciiTheme="minorHAnsi" w:hAnsiTheme="minorHAnsi" w:cs="Calibri"/>
        </w:rPr>
        <w:t xml:space="preserve"> </w:t>
      </w:r>
      <w:r w:rsidRPr="00EE361A">
        <w:rPr>
          <w:rFonts w:asciiTheme="minorHAnsi" w:hAnsiTheme="minorHAnsi" w:cs="Calibri"/>
          <w:b/>
          <w:bCs/>
        </w:rPr>
        <w:t>8</w:t>
      </w:r>
      <w:r w:rsidRPr="00EE361A">
        <w:rPr>
          <w:rFonts w:asciiTheme="minorHAnsi" w:hAnsiTheme="minorHAnsi" w:cs="Calibri"/>
        </w:rPr>
        <w:t>, 237. https://doi.org/10.1057/s41599-021-00912-9</w:t>
      </w:r>
      <w:r w:rsidRPr="00EE361A">
        <w:rPr>
          <w:rFonts w:asciiTheme="minorHAnsi" w:eastAsia="Calibri" w:hAnsiTheme="minorHAnsi" w:cs="Calibri"/>
          <w:kern w:val="2"/>
          <w:lang w:eastAsia="en-US"/>
          <w14:ligatures w14:val="standardContextual"/>
        </w:rPr>
        <w:t xml:space="preserve"> </w:t>
      </w:r>
    </w:p>
    <w:p w14:paraId="55CB56CE"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Psaropoulos, John. 2020. “How Greece flattened the coronavirus curve.” Al Jazeera, April 7. </w:t>
      </w:r>
      <w:hyperlink r:id="rId15" w:tgtFrame="_blank" w:history="1">
        <w:r w:rsidRPr="00EE361A">
          <w:rPr>
            <w:rFonts w:asciiTheme="minorHAnsi" w:hAnsiTheme="minorHAnsi" w:cs="Calibri"/>
            <w:color w:val="0000FF"/>
            <w:u w:val="single"/>
          </w:rPr>
          <w:t>https://www.aljazeera.com/news/2020/04/greece-flattened-coronavirus-curve-200407191043404.html(open in a new window)</w:t>
        </w:r>
      </w:hyperlink>
      <w:r w:rsidRPr="00EE361A">
        <w:rPr>
          <w:rFonts w:asciiTheme="minorHAnsi" w:hAnsiTheme="minorHAnsi" w:cs="Calibri"/>
        </w:rPr>
        <w:t>.</w:t>
      </w:r>
    </w:p>
    <w:p w14:paraId="1F659B07"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Roose, J., Sommer, M., Kanellopoulos, K., Papanikolopoulos, D., Kousis, M., Scholl, F., &amp; Loukakis, A. (2018). New rage, new perspectives? Protest in the Eurozone crisis in Greece and Germany. </w:t>
      </w:r>
      <w:r w:rsidRPr="00EE361A">
        <w:rPr>
          <w:rFonts w:asciiTheme="minorHAnsi" w:hAnsiTheme="minorHAnsi" w:cs="Calibri"/>
          <w:i/>
          <w:iCs/>
        </w:rPr>
        <w:t xml:space="preserve">KZfSS Kölner Zeitschrift </w:t>
      </w:r>
      <w:r w:rsidRPr="00EE361A">
        <w:rPr>
          <w:rFonts w:asciiTheme="minorHAnsi" w:hAnsiTheme="minorHAnsi" w:cs="Calibri"/>
          <w:i/>
          <w:iCs/>
        </w:rPr>
        <w:lastRenderedPageBreak/>
        <w:t>für Soziologie und Sozialpsychologie</w:t>
      </w:r>
      <w:r w:rsidRPr="00EE361A">
        <w:rPr>
          <w:rFonts w:asciiTheme="minorHAnsi" w:hAnsiTheme="minorHAnsi" w:cs="Calibri"/>
        </w:rPr>
        <w:t xml:space="preserve">, </w:t>
      </w:r>
      <w:r w:rsidRPr="00EE361A">
        <w:rPr>
          <w:rFonts w:asciiTheme="minorHAnsi" w:hAnsiTheme="minorHAnsi" w:cs="Calibri"/>
          <w:i/>
          <w:iCs/>
        </w:rPr>
        <w:t>70</w:t>
      </w:r>
      <w:r w:rsidRPr="00EE361A">
        <w:rPr>
          <w:rFonts w:asciiTheme="minorHAnsi" w:hAnsiTheme="minorHAnsi" w:cs="Calibri"/>
        </w:rPr>
        <w:t>(Suppl 1), 461-493. https://doi.org/10.1007/s11577-018-0554-6</w:t>
      </w:r>
    </w:p>
    <w:p w14:paraId="49B9395E"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Schnabel, Johanna, and Yvonne Hegele. 2021. ‘Explaining Intergovernmental Coordination during the COVID-19 Pandemic: Responses in Australia, Canada, Germany, and Switzerland’. </w:t>
      </w:r>
      <w:r w:rsidRPr="00EE361A">
        <w:rPr>
          <w:rFonts w:asciiTheme="minorHAnsi" w:hAnsiTheme="minorHAnsi" w:cs="Calibri"/>
          <w:i/>
          <w:iCs/>
        </w:rPr>
        <w:t>Publius: The Journal of Federalism</w:t>
      </w:r>
      <w:r w:rsidRPr="00EE361A">
        <w:rPr>
          <w:rFonts w:asciiTheme="minorHAnsi" w:hAnsiTheme="minorHAnsi" w:cs="Calibri"/>
        </w:rPr>
        <w:t xml:space="preserve"> 51(4):537–69. doi: 10.1093/publius/pjab011.</w:t>
      </w:r>
    </w:p>
    <w:p w14:paraId="61DA9B65"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Siapera, E. (2019). Refugee solidarity in Europe: Shifting the discourse. </w:t>
      </w:r>
      <w:r w:rsidRPr="00EE361A">
        <w:rPr>
          <w:rFonts w:asciiTheme="minorHAnsi" w:hAnsiTheme="minorHAnsi" w:cs="Calibri"/>
          <w:i/>
          <w:iCs/>
        </w:rPr>
        <w:t>European Journal of Cultural Studies</w:t>
      </w:r>
      <w:r w:rsidRPr="00EE361A">
        <w:rPr>
          <w:rFonts w:asciiTheme="minorHAnsi" w:hAnsiTheme="minorHAnsi" w:cs="Calibri"/>
        </w:rPr>
        <w:t xml:space="preserve">, </w:t>
      </w:r>
      <w:r w:rsidRPr="00EE361A">
        <w:rPr>
          <w:rFonts w:asciiTheme="minorHAnsi" w:hAnsiTheme="minorHAnsi" w:cs="Calibri"/>
          <w:i/>
          <w:iCs/>
        </w:rPr>
        <w:t>22</w:t>
      </w:r>
      <w:r w:rsidRPr="00EE361A">
        <w:rPr>
          <w:rFonts w:asciiTheme="minorHAnsi" w:hAnsiTheme="minorHAnsi" w:cs="Calibri"/>
        </w:rPr>
        <w:t>(2), 245-266.</w:t>
      </w:r>
      <w:r w:rsidRPr="00EE361A">
        <w:rPr>
          <w:rFonts w:asciiTheme="minorHAnsi" w:hAnsiTheme="minorHAnsi" w:cs="Calibri"/>
          <w:sz w:val="17"/>
          <w:szCs w:val="17"/>
          <w:shd w:val="clear" w:color="auto" w:fill="FFFFFF"/>
        </w:rPr>
        <w:t xml:space="preserve"> </w:t>
      </w:r>
      <w:r w:rsidRPr="00EE361A">
        <w:rPr>
          <w:rFonts w:asciiTheme="minorHAnsi" w:hAnsiTheme="minorHAnsi" w:cs="Calibri"/>
        </w:rPr>
        <w:t>doi: 10.1177/1367549418823068</w:t>
      </w:r>
    </w:p>
    <w:p w14:paraId="1A886023"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Sirnes, T. (2024). The pandemic state of exception: restrictions, subjectivities, and authority. </w:t>
      </w:r>
      <w:r w:rsidRPr="00EE361A">
        <w:rPr>
          <w:rFonts w:asciiTheme="minorHAnsi" w:hAnsiTheme="minorHAnsi" w:cs="Calibri"/>
          <w:i/>
          <w:iCs/>
        </w:rPr>
        <w:t>Subjectivity</w:t>
      </w:r>
      <w:r w:rsidRPr="00EE361A">
        <w:rPr>
          <w:rFonts w:asciiTheme="minorHAnsi" w:hAnsiTheme="minorHAnsi" w:cs="Calibri"/>
        </w:rPr>
        <w:t>, </w:t>
      </w:r>
      <w:r w:rsidRPr="00EE361A">
        <w:rPr>
          <w:rFonts w:asciiTheme="minorHAnsi" w:hAnsiTheme="minorHAnsi" w:cs="Calibri"/>
          <w:i/>
          <w:iCs/>
        </w:rPr>
        <w:t>31</w:t>
      </w:r>
      <w:r w:rsidRPr="00EE361A">
        <w:rPr>
          <w:rFonts w:asciiTheme="minorHAnsi" w:hAnsiTheme="minorHAnsi" w:cs="Calibri"/>
        </w:rPr>
        <w:t>(3), 217-242.</w:t>
      </w:r>
    </w:p>
    <w:p w14:paraId="7CDCEE83" w14:textId="77777777" w:rsidR="00B46B71" w:rsidRPr="00EE361A" w:rsidRDefault="00B46B71" w:rsidP="00B46B71">
      <w:pPr>
        <w:spacing w:after="240"/>
        <w:ind w:left="720" w:hanging="720"/>
        <w:jc w:val="both"/>
        <w:rPr>
          <w:rFonts w:asciiTheme="minorHAnsi" w:hAnsiTheme="minorHAnsi" w:cs="Calibri"/>
          <w:color w:val="222222"/>
          <w:sz w:val="20"/>
          <w:szCs w:val="20"/>
          <w:shd w:val="clear" w:color="auto" w:fill="FFFFFF"/>
        </w:rPr>
      </w:pPr>
      <w:r w:rsidRPr="00EE361A">
        <w:rPr>
          <w:rFonts w:asciiTheme="minorHAnsi" w:hAnsiTheme="minorHAnsi" w:cs="Calibri"/>
        </w:rPr>
        <w:t xml:space="preserve">Shafi, Saahir, and Daniel J. Mallinson. 2023. ‘Disproportionate Policy Dynamics in Crisis and Uncertainty: An International Comparative Analysis of Policy Responses to COVID-19’. </w:t>
      </w:r>
      <w:r w:rsidRPr="00EE361A">
        <w:rPr>
          <w:rFonts w:asciiTheme="minorHAnsi" w:hAnsiTheme="minorHAnsi" w:cs="Calibri"/>
          <w:i/>
          <w:iCs/>
        </w:rPr>
        <w:t>Policy Studies</w:t>
      </w:r>
      <w:r w:rsidRPr="00EE361A">
        <w:rPr>
          <w:rFonts w:asciiTheme="minorHAnsi" w:hAnsiTheme="minorHAnsi" w:cs="Calibri"/>
        </w:rPr>
        <w:t xml:space="preserve"> 44(1):90–111. doi: 10.1080/01442872.2022.2053093.</w:t>
      </w:r>
      <w:r w:rsidRPr="00EE361A">
        <w:rPr>
          <w:rFonts w:asciiTheme="minorHAnsi" w:hAnsiTheme="minorHAnsi" w:cs="Calibri"/>
          <w:color w:val="222222"/>
          <w:sz w:val="20"/>
          <w:szCs w:val="20"/>
          <w:shd w:val="clear" w:color="auto" w:fill="FFFFFF"/>
        </w:rPr>
        <w:t xml:space="preserve"> </w:t>
      </w:r>
    </w:p>
    <w:p w14:paraId="42B70296" w14:textId="77777777" w:rsidR="00B46B71" w:rsidRPr="00EE361A" w:rsidRDefault="00B46B71" w:rsidP="00B46B71">
      <w:pPr>
        <w:spacing w:after="240"/>
        <w:ind w:left="720" w:hanging="720"/>
        <w:jc w:val="both"/>
        <w:rPr>
          <w:rFonts w:asciiTheme="minorHAnsi" w:hAnsiTheme="minorHAnsi" w:cs="Calibri"/>
          <w:lang w:val="el-GR"/>
        </w:rPr>
      </w:pPr>
      <w:r w:rsidRPr="00EE361A">
        <w:rPr>
          <w:rFonts w:asciiTheme="minorHAnsi" w:hAnsiTheme="minorHAnsi" w:cs="Calibri"/>
        </w:rPr>
        <w:t>Soroka, S. N. (2014). </w:t>
      </w:r>
      <w:r w:rsidRPr="00EE361A">
        <w:rPr>
          <w:rFonts w:asciiTheme="minorHAnsi" w:hAnsiTheme="minorHAnsi" w:cs="Calibri"/>
          <w:i/>
          <w:iCs/>
        </w:rPr>
        <w:t>Negativity in democratic politics: Causes and consequences</w:t>
      </w:r>
      <w:r w:rsidRPr="00EE361A">
        <w:rPr>
          <w:rFonts w:asciiTheme="minorHAnsi" w:hAnsiTheme="minorHAnsi" w:cs="Calibri"/>
        </w:rPr>
        <w:t>. Cambridge</w:t>
      </w:r>
      <w:r w:rsidRPr="00EE361A">
        <w:rPr>
          <w:rFonts w:asciiTheme="minorHAnsi" w:hAnsiTheme="minorHAnsi" w:cs="Calibri"/>
          <w:lang w:val="el-GR"/>
        </w:rPr>
        <w:t xml:space="preserve"> </w:t>
      </w:r>
      <w:r w:rsidRPr="00EE361A">
        <w:rPr>
          <w:rFonts w:asciiTheme="minorHAnsi" w:hAnsiTheme="minorHAnsi" w:cs="Calibri"/>
        </w:rPr>
        <w:t>University</w:t>
      </w:r>
      <w:r w:rsidRPr="00EE361A">
        <w:rPr>
          <w:rFonts w:asciiTheme="minorHAnsi" w:hAnsiTheme="minorHAnsi" w:cs="Calibri"/>
          <w:lang w:val="el-GR"/>
        </w:rPr>
        <w:t xml:space="preserve"> </w:t>
      </w:r>
      <w:r w:rsidRPr="00EE361A">
        <w:rPr>
          <w:rFonts w:asciiTheme="minorHAnsi" w:hAnsiTheme="minorHAnsi" w:cs="Calibri"/>
        </w:rPr>
        <w:t>Press</w:t>
      </w:r>
      <w:r w:rsidRPr="00EE361A">
        <w:rPr>
          <w:rFonts w:asciiTheme="minorHAnsi" w:hAnsiTheme="minorHAnsi" w:cs="Calibri"/>
          <w:lang w:val="el-GR"/>
        </w:rPr>
        <w:t>.</w:t>
      </w:r>
    </w:p>
    <w:p w14:paraId="01EB1D05"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The</w:t>
      </w:r>
      <w:r w:rsidRPr="00EE361A">
        <w:rPr>
          <w:rFonts w:asciiTheme="minorHAnsi" w:hAnsiTheme="minorHAnsi" w:cs="Calibri"/>
          <w:lang w:val="el-GR"/>
        </w:rPr>
        <w:t xml:space="preserve"> </w:t>
      </w:r>
      <w:r w:rsidRPr="00EE361A">
        <w:rPr>
          <w:rFonts w:asciiTheme="minorHAnsi" w:hAnsiTheme="minorHAnsi" w:cs="Calibri"/>
        </w:rPr>
        <w:t>PressProject</w:t>
      </w:r>
      <w:r w:rsidRPr="00EE361A">
        <w:rPr>
          <w:rFonts w:asciiTheme="minorHAnsi" w:hAnsiTheme="minorHAnsi" w:cs="Calibri"/>
          <w:lang w:val="el-GR"/>
        </w:rPr>
        <w:t>.</w:t>
      </w:r>
      <w:r w:rsidRPr="00EE361A">
        <w:rPr>
          <w:rFonts w:asciiTheme="minorHAnsi" w:hAnsiTheme="minorHAnsi" w:cs="Calibri"/>
        </w:rPr>
        <w:t>gr</w:t>
      </w:r>
      <w:r w:rsidRPr="00EE361A">
        <w:rPr>
          <w:rFonts w:asciiTheme="minorHAnsi" w:hAnsiTheme="minorHAnsi" w:cs="Calibri"/>
          <w:lang w:val="el-GR"/>
        </w:rPr>
        <w:t xml:space="preserve">. (2021, </w:t>
      </w:r>
      <w:r w:rsidRPr="00EE361A">
        <w:rPr>
          <w:rFonts w:asciiTheme="minorHAnsi" w:hAnsiTheme="minorHAnsi" w:cs="Calibri"/>
        </w:rPr>
        <w:t>April</w:t>
      </w:r>
      <w:r w:rsidRPr="00EE361A">
        <w:rPr>
          <w:rFonts w:asciiTheme="minorHAnsi" w:hAnsiTheme="minorHAnsi" w:cs="Calibri"/>
          <w:lang w:val="el-GR"/>
        </w:rPr>
        <w:t xml:space="preserve"> 22).</w:t>
      </w:r>
      <w:r w:rsidRPr="00EE361A">
        <w:rPr>
          <w:rFonts w:asciiTheme="minorHAnsi" w:hAnsiTheme="minorHAnsi" w:cs="Calibri"/>
        </w:rPr>
        <w:t> </w:t>
      </w:r>
      <w:r w:rsidRPr="00EE361A">
        <w:rPr>
          <w:rFonts w:asciiTheme="minorHAnsi" w:hAnsiTheme="minorHAnsi" w:cs="Calibri"/>
          <w:i/>
          <w:iCs/>
          <w:lang w:val="el-GR"/>
        </w:rPr>
        <w:t>Λιγότερο από το 1% στον αντιπολιτευόμενο Τύπο για το «Μένουμε Σπίτι»</w:t>
      </w:r>
      <w:r w:rsidRPr="00EE361A">
        <w:rPr>
          <w:rFonts w:asciiTheme="minorHAnsi" w:hAnsiTheme="minorHAnsi" w:cs="Calibri"/>
          <w:lang w:val="el-GR"/>
        </w:rPr>
        <w:t xml:space="preserve">. </w:t>
      </w:r>
      <w:r w:rsidRPr="00EE361A">
        <w:rPr>
          <w:rFonts w:asciiTheme="minorHAnsi" w:hAnsiTheme="minorHAnsi" w:cs="Calibri"/>
        </w:rPr>
        <w:t>The Press Project. https://thepressproject.gr/ligotero-apo-to-1-ston-antipolitevomeno-typo-gia-to-menoume-spiti/</w:t>
      </w:r>
    </w:p>
    <w:p w14:paraId="33C50B34" w14:textId="77777777" w:rsidR="00B46B71" w:rsidRPr="00EE361A" w:rsidRDefault="00B46B71" w:rsidP="00B46B71">
      <w:pPr>
        <w:ind w:left="709" w:hanging="709"/>
        <w:rPr>
          <w:rFonts w:asciiTheme="minorHAnsi" w:hAnsiTheme="minorHAnsi" w:cs="Calibri"/>
        </w:rPr>
      </w:pPr>
      <w:r w:rsidRPr="00EE361A">
        <w:rPr>
          <w:rFonts w:asciiTheme="minorHAnsi" w:hAnsiTheme="minorHAnsi" w:cs="Calibri"/>
        </w:rPr>
        <w:t xml:space="preserve">Toumpalidou, S. A., and Chatzikonstantinidou, S. (2023). The social impact and risks of the covid-19 pandemic crisis in greece. </w:t>
      </w:r>
      <w:r w:rsidRPr="00EE361A">
        <w:rPr>
          <w:rFonts w:asciiTheme="minorHAnsi" w:hAnsiTheme="minorHAnsi" w:cs="Calibri"/>
          <w:i/>
          <w:iCs/>
        </w:rPr>
        <w:t>Risk Governance &amp; Control: Financial Markets &amp; Institutions</w:t>
      </w:r>
      <w:r w:rsidRPr="00EE361A">
        <w:rPr>
          <w:rFonts w:asciiTheme="minorHAnsi" w:hAnsiTheme="minorHAnsi" w:cs="Calibri"/>
        </w:rPr>
        <w:t>, 13(2).</w:t>
      </w:r>
    </w:p>
    <w:p w14:paraId="59F2DDE3" w14:textId="77777777" w:rsidR="00145C63" w:rsidRPr="00EE361A" w:rsidRDefault="00145C63" w:rsidP="00B46B71">
      <w:pPr>
        <w:ind w:left="709" w:hanging="709"/>
        <w:rPr>
          <w:rFonts w:asciiTheme="minorHAnsi" w:hAnsiTheme="minorHAnsi" w:cs="Calibri"/>
        </w:rPr>
      </w:pPr>
    </w:p>
    <w:p w14:paraId="3822568B" w14:textId="364E6C2E" w:rsidR="00145C63" w:rsidRPr="00EE361A" w:rsidRDefault="00145C63" w:rsidP="00145C63">
      <w:pPr>
        <w:ind w:left="709" w:hanging="709"/>
        <w:rPr>
          <w:rFonts w:asciiTheme="minorHAnsi" w:hAnsiTheme="minorHAnsi" w:cs="Calibri"/>
        </w:rPr>
      </w:pPr>
      <w:r w:rsidRPr="00EE361A">
        <w:rPr>
          <w:rFonts w:asciiTheme="minorHAnsi" w:hAnsiTheme="minorHAnsi" w:cs="Calibri"/>
        </w:rPr>
        <w:t xml:space="preserve">TransSOL (2020). </w:t>
      </w:r>
      <w:r w:rsidRPr="00EE361A">
        <w:rPr>
          <w:rFonts w:asciiTheme="minorHAnsi" w:hAnsiTheme="minorHAnsi" w:cs="Calibri"/>
          <w:i/>
          <w:iCs/>
        </w:rPr>
        <w:t>Reliability Report for Work Package 5: Claims Analysis and Social Media Commenting Analysis, https://transsol.eu/files/2020/12/TransSOL_Reliability-Report-WP5.pdf</w:t>
      </w:r>
    </w:p>
    <w:p w14:paraId="611DDF43" w14:textId="77777777" w:rsidR="00145C63" w:rsidRPr="00EE361A" w:rsidRDefault="00145C63" w:rsidP="00B46B71">
      <w:pPr>
        <w:ind w:left="709" w:hanging="709"/>
        <w:rPr>
          <w:rFonts w:asciiTheme="minorHAnsi" w:hAnsiTheme="minorHAnsi" w:cs="Calibri"/>
        </w:rPr>
      </w:pPr>
    </w:p>
    <w:p w14:paraId="294BA130" w14:textId="77777777" w:rsidR="00B46B71" w:rsidRPr="00EE361A" w:rsidRDefault="00B46B71" w:rsidP="00B46B71">
      <w:pPr>
        <w:ind w:left="709" w:hanging="709"/>
        <w:rPr>
          <w:rFonts w:asciiTheme="minorHAnsi" w:hAnsiTheme="minorHAnsi" w:cs="Calibri"/>
        </w:rPr>
      </w:pPr>
      <w:r w:rsidRPr="00EE361A">
        <w:rPr>
          <w:rFonts w:asciiTheme="minorHAnsi" w:hAnsiTheme="minorHAnsi" w:cs="Calibri"/>
        </w:rPr>
        <w:t xml:space="preserve">Trenz, H. J., and Ulrike Zschache. 2025. ‘The News Media as an Arena of Trust Contestation during the Pandemic’. in </w:t>
      </w:r>
      <w:r w:rsidRPr="00EE361A">
        <w:rPr>
          <w:rFonts w:asciiTheme="minorHAnsi" w:hAnsiTheme="minorHAnsi" w:cs="Calibri"/>
          <w:i/>
          <w:iCs/>
        </w:rPr>
        <w:t>Trust and distrust in governance: A comparative analysis of trust in times of crisis</w:t>
      </w:r>
      <w:r w:rsidRPr="00EE361A">
        <w:rPr>
          <w:rFonts w:asciiTheme="minorHAnsi" w:hAnsiTheme="minorHAnsi" w:cs="Calibri"/>
        </w:rPr>
        <w:t>, edited by C. Lahusen. London: Routledge.</w:t>
      </w:r>
    </w:p>
    <w:p w14:paraId="55736A01" w14:textId="77777777" w:rsidR="00B46B71" w:rsidRPr="00EE361A" w:rsidRDefault="00B46B71" w:rsidP="00B46B71">
      <w:pPr>
        <w:ind w:left="709" w:hanging="709"/>
        <w:rPr>
          <w:rFonts w:asciiTheme="minorHAnsi" w:hAnsiTheme="minorHAnsi" w:cs="Calibri"/>
        </w:rPr>
      </w:pPr>
      <w:r w:rsidRPr="00EE361A">
        <w:rPr>
          <w:rFonts w:asciiTheme="minorHAnsi" w:hAnsiTheme="minorHAnsi" w:cs="Calibri"/>
        </w:rPr>
        <w:t xml:space="preserve">Trenz, Hans-Jörg, Annett Heft, Michael Vaughan, and Barbara Pfetsch. 2021. ‘Resilience of Public Spheres in a Global Health Crisis’. </w:t>
      </w:r>
      <w:r w:rsidRPr="00EE361A">
        <w:rPr>
          <w:rFonts w:asciiTheme="minorHAnsi" w:hAnsiTheme="minorHAnsi" w:cs="Calibri"/>
          <w:i/>
          <w:iCs/>
        </w:rPr>
        <w:t>Javnost-The Public</w:t>
      </w:r>
      <w:r w:rsidRPr="00EE361A">
        <w:rPr>
          <w:rFonts w:asciiTheme="minorHAnsi" w:hAnsiTheme="minorHAnsi" w:cs="Calibri"/>
        </w:rPr>
        <w:t xml:space="preserve"> 28(2).</w:t>
      </w:r>
    </w:p>
    <w:p w14:paraId="47B691B6" w14:textId="77777777" w:rsidR="00B46B71" w:rsidRPr="00EE361A" w:rsidRDefault="00B46B71" w:rsidP="00B46B71">
      <w:pPr>
        <w:ind w:left="709" w:hanging="709"/>
        <w:rPr>
          <w:rFonts w:asciiTheme="minorHAnsi" w:eastAsia="Calibri" w:hAnsiTheme="minorHAnsi" w:cs="Calibri"/>
          <w:kern w:val="2"/>
          <w:lang w:eastAsia="en-US"/>
          <w14:ligatures w14:val="standardContextual"/>
        </w:rPr>
      </w:pPr>
      <w:r w:rsidRPr="00EE361A">
        <w:rPr>
          <w:rFonts w:asciiTheme="minorHAnsi" w:eastAsia="Calibri" w:hAnsiTheme="minorHAnsi" w:cs="Calibri"/>
          <w:kern w:val="2"/>
          <w:lang w:val="it-IT" w:eastAsia="en-US"/>
          <w14:ligatures w14:val="standardContextual"/>
        </w:rPr>
        <w:t xml:space="preserve">Trenz, H. J., Brändle, V. K., Cinalli, M., &amp; Eisele, O. (2020). </w:t>
      </w:r>
      <w:r w:rsidRPr="00EE361A">
        <w:rPr>
          <w:rFonts w:asciiTheme="minorHAnsi" w:eastAsia="Calibri" w:hAnsiTheme="minorHAnsi" w:cs="Calibri"/>
          <w:kern w:val="2"/>
          <w:lang w:eastAsia="en-US"/>
          <w14:ligatures w14:val="standardContextual"/>
        </w:rPr>
        <w:t>Taking voice and taking sides: the role of social media commenting in solidarity contestation. In </w:t>
      </w:r>
      <w:r w:rsidRPr="00EE361A">
        <w:rPr>
          <w:rFonts w:asciiTheme="minorHAnsi" w:eastAsia="Calibri" w:hAnsiTheme="minorHAnsi" w:cs="Calibri"/>
          <w:i/>
          <w:iCs/>
          <w:kern w:val="2"/>
          <w:lang w:eastAsia="en-US"/>
          <w14:ligatures w14:val="standardContextual"/>
        </w:rPr>
        <w:t>Citizens’ solidarity in Europe</w:t>
      </w:r>
      <w:r w:rsidRPr="00EE361A">
        <w:rPr>
          <w:rFonts w:asciiTheme="minorHAnsi" w:eastAsia="Calibri" w:hAnsiTheme="minorHAnsi" w:cs="Calibri"/>
          <w:kern w:val="2"/>
          <w:lang w:eastAsia="en-US"/>
          <w14:ligatures w14:val="standardContextual"/>
        </w:rPr>
        <w:t> (pp. 149-176). Edward Elgar Publishing.</w:t>
      </w:r>
      <w:r w:rsidRPr="00EE361A">
        <w:rPr>
          <w:rFonts w:asciiTheme="minorHAnsi" w:hAnsiTheme="minorHAnsi" w:cs="Calibri"/>
          <w:color w:val="18110A"/>
          <w:sz w:val="21"/>
          <w:szCs w:val="21"/>
        </w:rPr>
        <w:t xml:space="preserve"> </w:t>
      </w:r>
      <w:hyperlink r:id="rId16" w:tgtFrame="_blank" w:history="1">
        <w:r w:rsidRPr="00EE361A">
          <w:rPr>
            <w:rFonts w:asciiTheme="minorHAnsi" w:eastAsia="Calibri" w:hAnsiTheme="minorHAnsi" w:cs="Calibri"/>
            <w:color w:val="0000FF"/>
            <w:kern w:val="2"/>
            <w:u w:val="single"/>
            <w:lang w:eastAsia="en-US"/>
            <w14:ligatures w14:val="standardContextual"/>
          </w:rPr>
          <w:t>https://doi.org/10.4337/9781789909500.00012</w:t>
        </w:r>
      </w:hyperlink>
    </w:p>
    <w:p w14:paraId="4200DBCB" w14:textId="77777777" w:rsidR="00B46B71" w:rsidRPr="00EE361A" w:rsidRDefault="00B46B71" w:rsidP="00B46B71">
      <w:pPr>
        <w:ind w:left="709" w:hanging="709"/>
        <w:rPr>
          <w:rFonts w:asciiTheme="minorHAnsi" w:eastAsia="Calibri" w:hAnsiTheme="minorHAnsi" w:cs="Calibri"/>
          <w:kern w:val="2"/>
          <w:lang w:eastAsia="en-US"/>
          <w14:ligatures w14:val="standardContextual"/>
        </w:rPr>
      </w:pPr>
      <w:r w:rsidRPr="00EE361A">
        <w:rPr>
          <w:rFonts w:asciiTheme="minorHAnsi" w:eastAsia="Calibri" w:hAnsiTheme="minorHAnsi" w:cs="Calibri"/>
          <w:kern w:val="2"/>
          <w:lang w:eastAsia="en-US"/>
          <w14:ligatures w14:val="standardContextual"/>
        </w:rPr>
        <w:t xml:space="preserve"> </w:t>
      </w:r>
    </w:p>
    <w:p w14:paraId="35FCCB12" w14:textId="77777777" w:rsidR="00B46B71" w:rsidRPr="00EE361A" w:rsidRDefault="00B46B71" w:rsidP="00B46B71">
      <w:pPr>
        <w:ind w:left="709" w:hanging="709"/>
        <w:rPr>
          <w:rFonts w:asciiTheme="minorHAnsi" w:hAnsiTheme="minorHAnsi" w:cs="Calibri"/>
          <w:color w:val="222222"/>
          <w:sz w:val="20"/>
          <w:szCs w:val="20"/>
          <w:shd w:val="clear" w:color="auto" w:fill="FFFFFF"/>
        </w:rPr>
      </w:pPr>
      <w:r w:rsidRPr="00EE361A">
        <w:rPr>
          <w:rFonts w:asciiTheme="minorHAnsi" w:hAnsiTheme="minorHAnsi" w:cs="Calibri"/>
        </w:rPr>
        <w:t xml:space="preserve">Tsouvelas, G., Massou, E., &amp; Prodromitis, G. (2023). Trust in institutions in Greece amidst the COVID-19 era: ideological and existential </w:t>
      </w:r>
      <w:r w:rsidRPr="00EE361A">
        <w:rPr>
          <w:rFonts w:asciiTheme="minorHAnsi" w:hAnsiTheme="minorHAnsi" w:cs="Calibri"/>
        </w:rPr>
        <w:lastRenderedPageBreak/>
        <w:t>parameters. </w:t>
      </w:r>
      <w:r w:rsidRPr="00EE361A">
        <w:rPr>
          <w:rFonts w:asciiTheme="minorHAnsi" w:hAnsiTheme="minorHAnsi" w:cs="Calibri"/>
          <w:i/>
          <w:iCs/>
        </w:rPr>
        <w:t>Dialogues in Clinical Neuroscience &amp; Mental Health</w:t>
      </w:r>
      <w:r w:rsidRPr="00EE361A">
        <w:rPr>
          <w:rFonts w:asciiTheme="minorHAnsi" w:hAnsiTheme="minorHAnsi" w:cs="Calibri"/>
        </w:rPr>
        <w:t>, </w:t>
      </w:r>
      <w:r w:rsidRPr="00EE361A">
        <w:rPr>
          <w:rFonts w:asciiTheme="minorHAnsi" w:hAnsiTheme="minorHAnsi" w:cs="Calibri"/>
          <w:i/>
          <w:iCs/>
        </w:rPr>
        <w:t>6</w:t>
      </w:r>
      <w:r w:rsidRPr="00EE361A">
        <w:rPr>
          <w:rFonts w:asciiTheme="minorHAnsi" w:hAnsiTheme="minorHAnsi" w:cs="Calibri"/>
        </w:rPr>
        <w:t>(2), 71-82.</w:t>
      </w:r>
      <w:r w:rsidRPr="00EE361A">
        <w:rPr>
          <w:rFonts w:asciiTheme="minorHAnsi" w:hAnsiTheme="minorHAnsi" w:cs="Calibri"/>
          <w:color w:val="222222"/>
          <w:sz w:val="20"/>
          <w:szCs w:val="20"/>
          <w:shd w:val="clear" w:color="auto" w:fill="FFFFFF"/>
        </w:rPr>
        <w:t xml:space="preserve"> </w:t>
      </w:r>
    </w:p>
    <w:p w14:paraId="3E074097" w14:textId="77777777" w:rsidR="00B46B71" w:rsidRPr="00EE361A" w:rsidRDefault="00B46B71" w:rsidP="00B46B71">
      <w:pPr>
        <w:ind w:left="709" w:hanging="709"/>
        <w:rPr>
          <w:rFonts w:asciiTheme="minorHAnsi" w:hAnsiTheme="minorHAnsi" w:cs="Calibri"/>
        </w:rPr>
      </w:pPr>
      <w:r w:rsidRPr="00EE361A">
        <w:rPr>
          <w:rFonts w:asciiTheme="minorHAnsi" w:hAnsiTheme="minorHAnsi" w:cs="Calibri"/>
        </w:rPr>
        <w:t>Van Aelst, P., &amp; Walgrave, S. (2016). Information and arena: The dual function of the news media for political elites. </w:t>
      </w:r>
      <w:r w:rsidRPr="00EE361A">
        <w:rPr>
          <w:rFonts w:asciiTheme="minorHAnsi" w:hAnsiTheme="minorHAnsi" w:cs="Calibri"/>
          <w:i/>
          <w:iCs/>
        </w:rPr>
        <w:t>Journal of Communication</w:t>
      </w:r>
      <w:r w:rsidRPr="00EE361A">
        <w:rPr>
          <w:rFonts w:asciiTheme="minorHAnsi" w:hAnsiTheme="minorHAnsi" w:cs="Calibri"/>
        </w:rPr>
        <w:t>, </w:t>
      </w:r>
      <w:r w:rsidRPr="00EE361A">
        <w:rPr>
          <w:rFonts w:asciiTheme="minorHAnsi" w:hAnsiTheme="minorHAnsi" w:cs="Calibri"/>
          <w:i/>
          <w:iCs/>
        </w:rPr>
        <w:t>66</w:t>
      </w:r>
      <w:r w:rsidRPr="00EE361A">
        <w:rPr>
          <w:rFonts w:asciiTheme="minorHAnsi" w:hAnsiTheme="minorHAnsi" w:cs="Calibri"/>
        </w:rPr>
        <w:t>(3), 496-518. doi: 10.1111/jcom.12229.</w:t>
      </w:r>
    </w:p>
    <w:p w14:paraId="3745AC89" w14:textId="77777777" w:rsidR="00B46B71" w:rsidRPr="00EE361A" w:rsidRDefault="00B46B71" w:rsidP="00B46B71">
      <w:pPr>
        <w:ind w:left="709" w:hanging="709"/>
        <w:rPr>
          <w:rFonts w:asciiTheme="minorHAnsi" w:hAnsiTheme="minorHAnsi" w:cs="Calibri"/>
        </w:rPr>
      </w:pPr>
      <w:r w:rsidRPr="00EE361A">
        <w:rPr>
          <w:rFonts w:asciiTheme="minorHAnsi" w:hAnsiTheme="minorHAnsi" w:cs="Calibri"/>
        </w:rPr>
        <w:t xml:space="preserve">Van der Meer, Tom, Eefje Steenvoorden, and Ebe Ouattara. 2023. ‘Fear and the COVID-19 Rally Round the Flag: A Panel Study on Political Trust’. </w:t>
      </w:r>
      <w:r w:rsidRPr="00EE361A">
        <w:rPr>
          <w:rFonts w:asciiTheme="minorHAnsi" w:hAnsiTheme="minorHAnsi" w:cs="Calibri"/>
          <w:i/>
          <w:iCs/>
        </w:rPr>
        <w:t>West European Politics</w:t>
      </w:r>
      <w:r w:rsidRPr="00EE361A">
        <w:rPr>
          <w:rFonts w:asciiTheme="minorHAnsi" w:hAnsiTheme="minorHAnsi" w:cs="Calibri"/>
        </w:rPr>
        <w:t xml:space="preserve"> 46(6):1089–1105. doi:10.1080/01402382.2023.2171220.</w:t>
      </w:r>
    </w:p>
    <w:p w14:paraId="5796E6EB" w14:textId="77660E88" w:rsidR="000D0554" w:rsidRPr="00EE361A" w:rsidRDefault="000D0554" w:rsidP="00B46B71">
      <w:pPr>
        <w:spacing w:after="240"/>
        <w:ind w:left="720" w:hanging="720"/>
        <w:jc w:val="both"/>
        <w:rPr>
          <w:rFonts w:asciiTheme="minorHAnsi" w:hAnsiTheme="minorHAnsi" w:cs="Calibri"/>
          <w:color w:val="000000"/>
        </w:rPr>
      </w:pPr>
      <w:r w:rsidRPr="00EE361A">
        <w:rPr>
          <w:rFonts w:asciiTheme="minorHAnsi" w:hAnsiTheme="minorHAnsi" w:cs="Calibri"/>
          <w:color w:val="000000"/>
        </w:rPr>
        <w:t>Verney, S., Real-Dato, J., &amp; Rodríguez-Teruel, J. (2022). Southern Europe Managing the First Phase of the Covid-19 Pandemic: The Crucial Effect of Timing. </w:t>
      </w:r>
      <w:r w:rsidRPr="00EE361A">
        <w:rPr>
          <w:rFonts w:asciiTheme="minorHAnsi" w:hAnsiTheme="minorHAnsi" w:cs="Calibri"/>
          <w:i/>
          <w:iCs/>
          <w:color w:val="000000"/>
        </w:rPr>
        <w:t>South European Society and Politics</w:t>
      </w:r>
      <w:r w:rsidRPr="00EE361A">
        <w:rPr>
          <w:rFonts w:asciiTheme="minorHAnsi" w:hAnsiTheme="minorHAnsi" w:cs="Calibri"/>
          <w:color w:val="000000"/>
        </w:rPr>
        <w:t>, </w:t>
      </w:r>
      <w:r w:rsidRPr="00EE361A">
        <w:rPr>
          <w:rFonts w:asciiTheme="minorHAnsi" w:hAnsiTheme="minorHAnsi" w:cs="Calibri"/>
          <w:i/>
          <w:iCs/>
          <w:color w:val="000000"/>
        </w:rPr>
        <w:t>27</w:t>
      </w:r>
      <w:r w:rsidRPr="00EE361A">
        <w:rPr>
          <w:rFonts w:asciiTheme="minorHAnsi" w:hAnsiTheme="minorHAnsi" w:cs="Calibri"/>
          <w:color w:val="000000"/>
        </w:rPr>
        <w:t>(4), 431–458. https://doi.org/10.1080/13608746.2022.2306710</w:t>
      </w:r>
    </w:p>
    <w:p w14:paraId="2DC3BAC1"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Vogiatzaki, E., &amp; Nikolopoulou, A. (2021). The Greek movement against vaccination in Greece and the potential side-effects of covid-19 vaccines. </w:t>
      </w:r>
      <w:r w:rsidRPr="00EE361A">
        <w:rPr>
          <w:rFonts w:asciiTheme="minorHAnsi" w:hAnsiTheme="minorHAnsi" w:cs="Calibri"/>
          <w:i/>
          <w:iCs/>
        </w:rPr>
        <w:t>European Journal of Public Health Studies</w:t>
      </w:r>
      <w:r w:rsidRPr="00EE361A">
        <w:rPr>
          <w:rFonts w:asciiTheme="minorHAnsi" w:hAnsiTheme="minorHAnsi" w:cs="Calibri"/>
        </w:rPr>
        <w:t>, </w:t>
      </w:r>
      <w:r w:rsidRPr="00EE361A">
        <w:rPr>
          <w:rFonts w:asciiTheme="minorHAnsi" w:hAnsiTheme="minorHAnsi" w:cs="Calibri"/>
          <w:i/>
          <w:iCs/>
        </w:rPr>
        <w:t>4</w:t>
      </w:r>
      <w:r w:rsidRPr="00EE361A">
        <w:rPr>
          <w:rFonts w:asciiTheme="minorHAnsi" w:hAnsiTheme="minorHAnsi" w:cs="Calibri"/>
        </w:rPr>
        <w:t>(1).</w:t>
      </w:r>
    </w:p>
    <w:p w14:paraId="48E05747"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 xml:space="preserve"> Vosoughi, S., Roy, D., &amp; Aral, S. (2018). The spread of true and false news online. </w:t>
      </w:r>
      <w:r w:rsidRPr="00EE361A">
        <w:rPr>
          <w:rFonts w:asciiTheme="minorHAnsi" w:hAnsiTheme="minorHAnsi" w:cs="Calibri"/>
          <w:i/>
          <w:iCs/>
        </w:rPr>
        <w:t>science</w:t>
      </w:r>
      <w:r w:rsidRPr="00EE361A">
        <w:rPr>
          <w:rFonts w:asciiTheme="minorHAnsi" w:hAnsiTheme="minorHAnsi" w:cs="Calibri"/>
        </w:rPr>
        <w:t>, </w:t>
      </w:r>
      <w:r w:rsidRPr="00EE361A">
        <w:rPr>
          <w:rFonts w:asciiTheme="minorHAnsi" w:hAnsiTheme="minorHAnsi" w:cs="Calibri"/>
          <w:i/>
          <w:iCs/>
        </w:rPr>
        <w:t>359</w:t>
      </w:r>
      <w:r w:rsidRPr="00EE361A">
        <w:rPr>
          <w:rFonts w:asciiTheme="minorHAnsi" w:hAnsiTheme="minorHAnsi" w:cs="Calibri"/>
        </w:rPr>
        <w:t>(6380), 1146-1151. doi: 10.1126/science.aap9559.</w:t>
      </w:r>
    </w:p>
    <w:p w14:paraId="61811E7A" w14:textId="77777777" w:rsidR="00B46B71" w:rsidRPr="00EE361A" w:rsidRDefault="00B46B71" w:rsidP="00B46B71">
      <w:pPr>
        <w:spacing w:after="240"/>
        <w:ind w:left="720" w:hanging="720"/>
        <w:jc w:val="both"/>
        <w:rPr>
          <w:rFonts w:asciiTheme="minorHAnsi" w:hAnsiTheme="minorHAnsi" w:cs="Calibri"/>
          <w:i/>
          <w:iCs/>
          <w:color w:val="000000"/>
        </w:rPr>
      </w:pPr>
      <w:r w:rsidRPr="00EE361A">
        <w:rPr>
          <w:rFonts w:asciiTheme="minorHAnsi" w:hAnsiTheme="minorHAnsi" w:cs="Calibri"/>
        </w:rPr>
        <w:t xml:space="preserve">Weissert, Carol S., Matthew J. Uttermark, Kenneth R. Mackie, and Alexandra Artiles. 2021. ‘Governors in Control: Executive Orders, State-Local Preemption, and the COVID-19 Pandemic’. </w:t>
      </w:r>
      <w:r w:rsidRPr="00EE361A">
        <w:rPr>
          <w:rFonts w:asciiTheme="minorHAnsi" w:hAnsiTheme="minorHAnsi" w:cs="Calibri"/>
          <w:i/>
          <w:iCs/>
        </w:rPr>
        <w:t>Publius: The Journal of Federalism</w:t>
      </w:r>
      <w:r w:rsidRPr="00EE361A">
        <w:rPr>
          <w:rFonts w:asciiTheme="minorHAnsi" w:hAnsiTheme="minorHAnsi" w:cs="Calibri"/>
        </w:rPr>
        <w:t xml:space="preserve"> 51(3):396–428. doi: 10.1093/publius/pjab013.</w:t>
      </w:r>
      <w:r w:rsidRPr="00EE361A">
        <w:rPr>
          <w:rFonts w:asciiTheme="minorHAnsi" w:hAnsiTheme="minorHAnsi" w:cs="Calibri"/>
          <w:i/>
          <w:iCs/>
          <w:color w:val="000000"/>
        </w:rPr>
        <w:t xml:space="preserve"> </w:t>
      </w:r>
    </w:p>
    <w:p w14:paraId="317B0670" w14:textId="77777777" w:rsidR="00B46B71" w:rsidRPr="00EE361A" w:rsidRDefault="00B46B71" w:rsidP="00B46B71">
      <w:pPr>
        <w:ind w:left="709" w:hanging="709"/>
        <w:rPr>
          <w:rFonts w:asciiTheme="minorHAnsi" w:eastAsia="Calibri" w:hAnsiTheme="minorHAnsi" w:cs="Calibri"/>
          <w:kern w:val="2"/>
          <w:lang w:eastAsia="en-US"/>
          <w14:ligatures w14:val="standardContextual"/>
        </w:rPr>
      </w:pPr>
      <w:r w:rsidRPr="00EE361A">
        <w:rPr>
          <w:rFonts w:asciiTheme="minorHAnsi" w:hAnsiTheme="minorHAnsi" w:cs="Calibri"/>
        </w:rPr>
        <w:t>World Health Organisation (2025)</w:t>
      </w:r>
      <w:r w:rsidRPr="00EE361A">
        <w:rPr>
          <w:rFonts w:asciiTheme="minorHAnsi" w:hAnsiTheme="minorHAnsi" w:cs="Calibri"/>
          <w:i/>
          <w:iCs/>
        </w:rPr>
        <w:t>, COVID-19 deaths | WHO COVID-19 dashboard</w:t>
      </w:r>
      <w:r w:rsidRPr="00EE361A">
        <w:rPr>
          <w:rFonts w:asciiTheme="minorHAnsi" w:hAnsiTheme="minorHAnsi" w:cs="Calibri"/>
        </w:rPr>
        <w:t>. (n.d.), Datadot. </w:t>
      </w:r>
      <w:hyperlink r:id="rId17" w:history="1">
        <w:r w:rsidRPr="00EE361A">
          <w:rPr>
            <w:rFonts w:asciiTheme="minorHAnsi" w:hAnsiTheme="minorHAnsi" w:cs="Calibri"/>
          </w:rPr>
          <w:t>https://data.who.int/dashboards/covid19/deaths</w:t>
        </w:r>
      </w:hyperlink>
    </w:p>
    <w:p w14:paraId="57B2C18A" w14:textId="77777777" w:rsidR="00B46B71" w:rsidRPr="00EE361A" w:rsidRDefault="00B46B71" w:rsidP="00B46B71">
      <w:pPr>
        <w:ind w:left="709" w:hanging="709"/>
        <w:rPr>
          <w:rFonts w:asciiTheme="minorHAnsi" w:eastAsia="Calibri" w:hAnsiTheme="minorHAnsi" w:cs="Calibri"/>
          <w:kern w:val="2"/>
          <w:lang w:eastAsia="en-US"/>
          <w14:ligatures w14:val="standardContextual"/>
        </w:rPr>
      </w:pPr>
    </w:p>
    <w:p w14:paraId="7FB7B694" w14:textId="77777777" w:rsidR="00B46B71" w:rsidRPr="00EE361A" w:rsidRDefault="00B46B71" w:rsidP="00B46B71">
      <w:pPr>
        <w:ind w:left="709" w:hanging="709"/>
        <w:rPr>
          <w:rFonts w:asciiTheme="minorHAnsi" w:eastAsia="Calibri" w:hAnsiTheme="minorHAnsi" w:cs="Calibri"/>
          <w:lang w:eastAsia="en-US"/>
        </w:rPr>
      </w:pPr>
      <w:r w:rsidRPr="00EE361A">
        <w:rPr>
          <w:rFonts w:asciiTheme="minorHAnsi" w:eastAsia="Calibri" w:hAnsiTheme="minorHAnsi" w:cs="Calibri"/>
          <w:lang w:eastAsia="en-US"/>
        </w:rPr>
        <w:t xml:space="preserve">Worldometer. (2025). </w:t>
      </w:r>
      <w:r w:rsidRPr="00EE361A">
        <w:rPr>
          <w:rFonts w:asciiTheme="minorHAnsi" w:eastAsia="Calibri" w:hAnsiTheme="minorHAnsi" w:cs="Calibri"/>
          <w:i/>
          <w:iCs/>
          <w:lang w:eastAsia="en-US"/>
        </w:rPr>
        <w:t>Greece.</w:t>
      </w:r>
      <w:r w:rsidRPr="00EE361A">
        <w:rPr>
          <w:rFonts w:asciiTheme="minorHAnsi" w:eastAsia="Calibri" w:hAnsiTheme="minorHAnsi" w:cs="Calibri"/>
          <w:lang w:eastAsia="en-US"/>
        </w:rPr>
        <w:t xml:space="preserve"> https://www.worldometers.info/coronavirus/country/greece/#graph-deaths-daily (last accessed 17th October 2024) </w:t>
      </w:r>
    </w:p>
    <w:p w14:paraId="45E437BD" w14:textId="77777777" w:rsidR="00B46B71" w:rsidRPr="00EE361A" w:rsidRDefault="00B46B71" w:rsidP="00EE361A">
      <w:pPr>
        <w:rPr>
          <w:rFonts w:asciiTheme="minorHAnsi" w:eastAsia="Calibri" w:hAnsiTheme="minorHAnsi" w:cs="Calibri"/>
          <w:lang w:eastAsia="en-US"/>
        </w:rPr>
      </w:pPr>
    </w:p>
    <w:p w14:paraId="5F3B1DC2" w14:textId="77777777" w:rsidR="00B46B71" w:rsidRPr="00EE361A" w:rsidRDefault="00B46B71" w:rsidP="00B46B71">
      <w:pPr>
        <w:spacing w:after="240"/>
        <w:ind w:left="720" w:hanging="720"/>
        <w:rPr>
          <w:rFonts w:asciiTheme="minorHAnsi" w:hAnsiTheme="minorHAnsi" w:cs="Calibri"/>
        </w:rPr>
      </w:pPr>
      <w:r w:rsidRPr="00EE361A">
        <w:rPr>
          <w:rFonts w:asciiTheme="minorHAnsi" w:hAnsiTheme="minorHAnsi" w:cs="Calibri"/>
        </w:rPr>
        <w:t>Zahariadis, N., Petridou, E., Exadaktylos, T., &amp; Sparf, J. (2021). Policy styles and political trust in Europe’s national responses to the COVID-19 crisis. </w:t>
      </w:r>
      <w:r w:rsidRPr="00EE361A">
        <w:rPr>
          <w:rFonts w:asciiTheme="minorHAnsi" w:hAnsiTheme="minorHAnsi" w:cs="Calibri"/>
          <w:i/>
          <w:iCs/>
        </w:rPr>
        <w:t>Policy Studies</w:t>
      </w:r>
      <w:r w:rsidRPr="00EE361A">
        <w:rPr>
          <w:rFonts w:asciiTheme="minorHAnsi" w:hAnsiTheme="minorHAnsi" w:cs="Calibri"/>
        </w:rPr>
        <w:t>, </w:t>
      </w:r>
      <w:r w:rsidRPr="00EE361A">
        <w:rPr>
          <w:rFonts w:asciiTheme="minorHAnsi" w:hAnsiTheme="minorHAnsi" w:cs="Calibri"/>
          <w:i/>
          <w:iCs/>
        </w:rPr>
        <w:t>44</w:t>
      </w:r>
      <w:r w:rsidRPr="00EE361A">
        <w:rPr>
          <w:rFonts w:asciiTheme="minorHAnsi" w:hAnsiTheme="minorHAnsi" w:cs="Calibri"/>
        </w:rPr>
        <w:t xml:space="preserve">(1), 46–67. </w:t>
      </w:r>
      <w:hyperlink r:id="rId18" w:history="1">
        <w:r w:rsidRPr="00EE361A">
          <w:rPr>
            <w:rFonts w:asciiTheme="minorHAnsi" w:hAnsiTheme="minorHAnsi" w:cs="Calibri"/>
            <w:color w:val="0000FF"/>
            <w:u w:val="single"/>
          </w:rPr>
          <w:t>https://doi.org/10.1080/01442872.2021.2019211</w:t>
        </w:r>
      </w:hyperlink>
    </w:p>
    <w:p w14:paraId="79F17BFB"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 xml:space="preserve">Zestanakis, P. (2023). Cultural responses to the COVID-19 crisis in Greece: The first wave (March–May 2020). </w:t>
      </w:r>
      <w:r w:rsidRPr="00EE361A">
        <w:rPr>
          <w:rFonts w:asciiTheme="minorHAnsi" w:hAnsiTheme="minorHAnsi" w:cs="Calibri"/>
          <w:i/>
          <w:iCs/>
        </w:rPr>
        <w:t>Journal of European Studies</w:t>
      </w:r>
      <w:r w:rsidRPr="00EE361A">
        <w:rPr>
          <w:rFonts w:asciiTheme="minorHAnsi" w:hAnsiTheme="minorHAnsi" w:cs="Calibri"/>
        </w:rPr>
        <w:t xml:space="preserve">, </w:t>
      </w:r>
      <w:r w:rsidRPr="00EE361A">
        <w:rPr>
          <w:rFonts w:asciiTheme="minorHAnsi" w:hAnsiTheme="minorHAnsi" w:cs="Calibri"/>
          <w:i/>
          <w:iCs/>
        </w:rPr>
        <w:t>53</w:t>
      </w:r>
      <w:r w:rsidRPr="00EE361A">
        <w:rPr>
          <w:rFonts w:asciiTheme="minorHAnsi" w:hAnsiTheme="minorHAnsi" w:cs="Calibri"/>
        </w:rPr>
        <w:t xml:space="preserve">(1), 70-84. </w:t>
      </w:r>
      <w:hyperlink r:id="rId19" w:history="1">
        <w:r w:rsidRPr="00EE361A">
          <w:rPr>
            <w:rFonts w:asciiTheme="minorHAnsi" w:hAnsiTheme="minorHAnsi" w:cs="Calibri"/>
            <w:color w:val="0000FF"/>
            <w:u w:val="single"/>
          </w:rPr>
          <w:t>https://doi.org/10.1177/00472441221141957</w:t>
        </w:r>
      </w:hyperlink>
    </w:p>
    <w:p w14:paraId="402E4A97" w14:textId="77777777" w:rsidR="00B46B71" w:rsidRPr="00EE361A" w:rsidRDefault="00B46B71" w:rsidP="00B46B71">
      <w:pPr>
        <w:spacing w:after="240"/>
        <w:ind w:left="720" w:hanging="720"/>
        <w:jc w:val="both"/>
        <w:rPr>
          <w:rFonts w:asciiTheme="minorHAnsi" w:hAnsiTheme="minorHAnsi" w:cs="Calibri"/>
        </w:rPr>
      </w:pPr>
      <w:r w:rsidRPr="00EE361A">
        <w:rPr>
          <w:rFonts w:asciiTheme="minorHAnsi" w:hAnsiTheme="minorHAnsi" w:cs="Calibri"/>
        </w:rPr>
        <w:t>Zilidis, Christos., Stuckler, David. McKee, Martin. Use of amenable mortality indicators to evaluate the impact of financial crisis on health system performance in Greece, </w:t>
      </w:r>
      <w:r w:rsidRPr="00EE361A">
        <w:rPr>
          <w:rFonts w:asciiTheme="minorHAnsi" w:hAnsiTheme="minorHAnsi" w:cs="Calibri"/>
          <w:i/>
          <w:iCs/>
        </w:rPr>
        <w:t>European Journal of Public Health</w:t>
      </w:r>
      <w:r w:rsidRPr="00EE361A">
        <w:rPr>
          <w:rFonts w:asciiTheme="minorHAnsi" w:hAnsiTheme="minorHAnsi" w:cs="Calibri"/>
        </w:rPr>
        <w:t>, Volume 30, Issue 5, October 2020, Pages 861–866, </w:t>
      </w:r>
      <w:hyperlink r:id="rId20" w:history="1">
        <w:r w:rsidRPr="00EE361A">
          <w:rPr>
            <w:rFonts w:asciiTheme="minorHAnsi" w:hAnsiTheme="minorHAnsi" w:cs="Calibri"/>
            <w:color w:val="0000FF"/>
            <w:u w:val="single"/>
          </w:rPr>
          <w:t>https://doi.org/10.1093/eurpub/ckaa058</w:t>
        </w:r>
      </w:hyperlink>
    </w:p>
    <w:p w14:paraId="4AF046D1" w14:textId="77777777" w:rsidR="00B46B71" w:rsidRPr="00EE361A" w:rsidRDefault="00B46B71" w:rsidP="00B46B71">
      <w:pPr>
        <w:rPr>
          <w:rFonts w:asciiTheme="minorHAnsi" w:hAnsiTheme="minorHAnsi" w:cs="Calibri"/>
          <w:vanish/>
        </w:rPr>
      </w:pPr>
      <w:r w:rsidRPr="00EE361A">
        <w:rPr>
          <w:rFonts w:asciiTheme="minorHAnsi" w:hAnsiTheme="minorHAnsi" w:cs="Calibri"/>
          <w:vanish/>
        </w:rPr>
        <w:t>Τέλος φόρμας</w:t>
      </w:r>
    </w:p>
    <w:p w14:paraId="7ED99018" w14:textId="77777777" w:rsidR="00B46B71" w:rsidRPr="00EE361A" w:rsidRDefault="00B46B71" w:rsidP="00B46B71">
      <w:pPr>
        <w:rPr>
          <w:rFonts w:asciiTheme="minorHAnsi" w:hAnsiTheme="minorHAnsi" w:cs="Calibri"/>
        </w:rPr>
      </w:pPr>
    </w:p>
    <w:p w14:paraId="7B79F68E" w14:textId="77777777" w:rsidR="00B46B71" w:rsidRPr="00EE361A" w:rsidRDefault="00B46B71" w:rsidP="00B46B71">
      <w:pPr>
        <w:rPr>
          <w:rFonts w:asciiTheme="minorHAnsi" w:hAnsiTheme="minorHAnsi" w:cs="Calibri"/>
        </w:rPr>
      </w:pPr>
    </w:p>
    <w:p w14:paraId="56D2F78F" w14:textId="5C9FC850" w:rsidR="003D00F5" w:rsidRPr="00BB402F" w:rsidRDefault="00B46B71" w:rsidP="00B46B71">
      <w:pPr>
        <w:spacing w:after="240"/>
        <w:ind w:left="720" w:hanging="720"/>
        <w:jc w:val="both"/>
        <w:rPr>
          <w:rFonts w:asciiTheme="minorHAnsi" w:hAnsiTheme="minorHAnsi"/>
          <w:lang w:val="en-US"/>
        </w:rPr>
      </w:pPr>
      <w:r w:rsidRPr="00EE361A">
        <w:rPr>
          <w:rFonts w:asciiTheme="minorHAnsi" w:hAnsiTheme="minorHAnsi" w:cs="Calibri"/>
        </w:rPr>
        <w:fldChar w:fldCharType="end"/>
      </w:r>
    </w:p>
    <w:sectPr w:rsidR="003D00F5" w:rsidRPr="00BB402F">
      <w:pgSz w:w="11906" w:h="16838"/>
      <w:pgMar w:top="1440" w:right="1800" w:bottom="1440" w:left="1800"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28FC4E2" w16cid:durableId="1C008A46"/>
  <w16cid:commentId w16cid:paraId="52D79F37" w16cid:durableId="43E77A81"/>
  <w16cid:commentId w16cid:paraId="583AAA36" w16cid:durableId="31B24BA9"/>
  <w16cid:commentId w16cid:paraId="4083507A" w16cid:durableId="7F5CDE3A"/>
  <w16cid:commentId w16cid:paraId="52B3CDC3" w16cid:durableId="6BF95BD5"/>
  <w16cid:commentId w16cid:paraId="306AFA4B" w16cid:durableId="0B670674"/>
  <w16cid:commentId w16cid:paraId="71F7E02F" w16cid:durableId="73FB140C"/>
  <w16cid:commentId w16cid:paraId="037FFB70" w16cid:durableId="3D2B3328"/>
  <w16cid:commentId w16cid:paraId="2ED253BB" w16cid:durableId="6155DF79"/>
  <w16cid:commentId w16cid:paraId="5471D169" w16cid:durableId="43D573AB"/>
  <w16cid:commentId w16cid:paraId="75A01FE2" w16cid:durableId="530CD6AD"/>
  <w16cid:commentId w16cid:paraId="5BDB4D45" w16cid:durableId="009BCFD1"/>
  <w16cid:commentId w16cid:paraId="4B0BE302" w16cid:durableId="252A98E0"/>
  <w16cid:commentId w16cid:paraId="7B67BB5E" w16cid:durableId="2F6D8015"/>
  <w16cid:commentId w16cid:paraId="19346526" w16cid:durableId="470C5E51"/>
  <w16cid:commentId w16cid:paraId="6D278E18" w16cid:durableId="18D08AD0"/>
  <w16cid:commentId w16cid:paraId="21832F73" w16cid:durableId="06CD1FEE"/>
  <w16cid:commentId w16cid:paraId="40C00480" w16cid:durableId="3E51A2A6"/>
  <w16cid:commentId w16cid:paraId="21798568" w16cid:durableId="15DE0620"/>
  <w16cid:commentId w16cid:paraId="4DFFB7A1" w16cid:durableId="4EAB95D7"/>
  <w16cid:commentId w16cid:paraId="1FDC96D0" w16cid:durableId="0EF4E3A7"/>
  <w16cid:commentId w16cid:paraId="35EF6B8B" w16cid:durableId="79AC3818"/>
  <w16cid:commentId w16cid:paraId="47A3D08E" w16cid:durableId="06D397DB"/>
  <w16cid:commentId w16cid:paraId="7C9C6BC0" w16cid:durableId="0781DB07"/>
  <w16cid:commentId w16cid:paraId="2872498C" w16cid:durableId="378F306F"/>
  <w16cid:commentId w16cid:paraId="51BFA2DF" w16cid:durableId="1C6693FE"/>
  <w16cid:commentId w16cid:paraId="54A5876E" w16cid:durableId="3025BA1B"/>
  <w16cid:commentId w16cid:paraId="357EE75B" w16cid:durableId="67F40234"/>
  <w16cid:commentId w16cid:paraId="2AC567E7" w16cid:durableId="54BA03FA"/>
  <w16cid:commentId w16cid:paraId="29C0BAFA" w16cid:durableId="265B6845"/>
  <w16cid:commentId w16cid:paraId="6641D058" w16cid:durableId="504170E5"/>
  <w16cid:commentId w16cid:paraId="60527692" w16cid:durableId="74650303"/>
  <w16cid:commentId w16cid:paraId="1B31266A" w16cid:durableId="4AAFCA63"/>
  <w16cid:commentId w16cid:paraId="05219F7B" w16cid:durableId="31367CF2"/>
  <w16cid:commentId w16cid:paraId="57AD21F9" w16cid:durableId="0C8A3764"/>
  <w16cid:commentId w16cid:paraId="582CED7B" w16cid:durableId="12067D11"/>
  <w16cid:commentId w16cid:paraId="3541315C" w16cid:durableId="30EAF699"/>
  <w16cid:commentId w16cid:paraId="5FB0A061" w16cid:durableId="0222BDD0"/>
  <w16cid:commentId w16cid:paraId="40886CDD" w16cid:durableId="264D1745"/>
  <w16cid:commentId w16cid:paraId="6CA4E404" w16cid:durableId="3AE8F4FE"/>
  <w16cid:commentId w16cid:paraId="1FAAB475" w16cid:durableId="56E7DF1C"/>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14D59" w14:textId="77777777" w:rsidR="00FD25F9" w:rsidRPr="000227EF" w:rsidRDefault="00FD25F9" w:rsidP="009247F0">
      <w:r w:rsidRPr="000227EF">
        <w:separator/>
      </w:r>
    </w:p>
  </w:endnote>
  <w:endnote w:type="continuationSeparator" w:id="0">
    <w:p w14:paraId="5663C4B7" w14:textId="77777777" w:rsidR="00FD25F9" w:rsidRPr="000227EF" w:rsidRDefault="00FD25F9" w:rsidP="009247F0">
      <w:r w:rsidRPr="000227E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Cambria">
    <w:panose1 w:val="02040503050406030204"/>
    <w:charset w:val="00"/>
    <w:family w:val="roman"/>
    <w:pitch w:val="variable"/>
    <w:sig w:usb0="E00006FF" w:usb1="420024FF" w:usb2="02000000" w:usb3="00000000" w:csb0="0000019F" w:csb1="00000000"/>
  </w:font>
  <w:font w:name="-webkit-standard">
    <w:altName w:val="Cambria"/>
    <w:charset w:val="00"/>
    <w:family w:val="roman"/>
    <w:pitch w:val="default"/>
  </w:font>
  <w:font w:name="Calibri">
    <w:panose1 w:val="020F0502020204030204"/>
    <w:charset w:val="00"/>
    <w:family w:val="swiss"/>
    <w:pitch w:val="variable"/>
    <w:sig w:usb0="E4002EFF" w:usb1="C200247B" w:usb2="00000009" w:usb3="00000000" w:csb0="000001FF" w:csb1="00000000"/>
  </w:font>
  <w:font w:name="Aptos Narrow">
    <w:altName w:val="Microsoft Sans Serif"/>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56DDCC" w14:textId="77777777" w:rsidR="00FD25F9" w:rsidRPr="000227EF" w:rsidRDefault="00FD25F9" w:rsidP="009247F0">
      <w:r w:rsidRPr="000227EF">
        <w:separator/>
      </w:r>
    </w:p>
  </w:footnote>
  <w:footnote w:type="continuationSeparator" w:id="0">
    <w:p w14:paraId="37B6A343" w14:textId="77777777" w:rsidR="00FD25F9" w:rsidRPr="000227EF" w:rsidRDefault="00FD25F9" w:rsidP="009247F0">
      <w:r w:rsidRPr="000227EF">
        <w:continuationSeparator/>
      </w:r>
    </w:p>
  </w:footnote>
  <w:footnote w:id="1">
    <w:p w14:paraId="0A7A9ECB" w14:textId="7546A039"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POCO-COVID (Polarisation and Contestation of the Covid-19 Crisis Debate in the Greek Digital and Social Media) was a postdoctoral research project funded by the Hellenic Foundation for Research and Innovation (H.F.R.I.). More information about the project can be found at: https://www.ekke.gr/en/research/project/polosi-kai-diamachi-stin-dimosia-sizitisi-schetika-me-ton-covid-19-sta-ellinika-idiseografika-portal-kai-mesa-kinonikis-diktiosis</w:t>
      </w:r>
    </w:p>
  </w:footnote>
  <w:footnote w:id="2">
    <w:p w14:paraId="6405B4BF" w14:textId="317DB314" w:rsidR="00E128A6" w:rsidRPr="00EE361A" w:rsidRDefault="00E128A6" w:rsidP="00EE361A">
      <w:pPr>
        <w:pStyle w:val="Testonotaapidipagina"/>
        <w:jc w:val="both"/>
        <w:rPr>
          <w:rFonts w:asciiTheme="minorHAnsi" w:hAnsiTheme="minorHAnsi"/>
          <w:lang w:val="en-US"/>
        </w:rPr>
      </w:pPr>
      <w:r w:rsidRPr="00EE361A">
        <w:rPr>
          <w:rStyle w:val="Rimandonotaapidipagina"/>
          <w:rFonts w:asciiTheme="minorHAnsi" w:hAnsiTheme="minorHAnsi"/>
        </w:rPr>
        <w:footnoteRef/>
      </w:r>
      <w:r w:rsidRPr="00EE361A">
        <w:rPr>
          <w:rFonts w:asciiTheme="minorHAnsi" w:hAnsiTheme="minorHAnsi"/>
        </w:rPr>
        <w:t xml:space="preserve"> </w:t>
      </w:r>
      <w:r w:rsidRPr="00EE361A">
        <w:rPr>
          <w:rFonts w:asciiTheme="minorHAnsi" w:hAnsiTheme="minorHAnsi"/>
          <w:lang w:val="en-US"/>
        </w:rPr>
        <w:t xml:space="preserve">Proto Thema is considered a right-biased newspaper that supports the New Democracy government. It uses a sensationalist, emotional and anti-elitist tone in its coverage. </w:t>
      </w:r>
    </w:p>
  </w:footnote>
  <w:footnote w:id="3">
    <w:p w14:paraId="6C723875" w14:textId="3E4BD038"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w:t>
      </w:r>
      <w:r w:rsidRPr="00EE361A">
        <w:rPr>
          <w:rFonts w:asciiTheme="minorHAnsi" w:hAnsiTheme="minorHAnsi" w:cstheme="minorHAnsi"/>
        </w:rPr>
        <w:t xml:space="preserve">To ensure that the analysis focused on peak moments of public debate in 2020,2021 and 2022 we excluded the summer months when COVID-19-related articles dropped sharply   </w:t>
      </w:r>
    </w:p>
  </w:footnote>
  <w:footnote w:id="4">
    <w:p w14:paraId="569B6996" w14:textId="5653D75F"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w:t>
      </w:r>
      <w:r w:rsidRPr="00EE361A">
        <w:rPr>
          <w:rFonts w:asciiTheme="minorHAnsi" w:hAnsiTheme="minorHAnsi" w:cstheme="minorHAnsi"/>
        </w:rPr>
        <w:t>This target was set by estimating the average time required to code a single article and calculating how many could be processed within the available personnel hours and overall project timeframe.</w:t>
      </w:r>
    </w:p>
  </w:footnote>
  <w:footnote w:id="5">
    <w:p w14:paraId="6BCE88F1" w14:textId="18F97221"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Political decisions are considered claims because they can be attributed to and applied by someone, for instance, the government (Sender: Greek Government; Addressee: Greek Society; Issue: Use of Masks). A verbal statement typically expresses support for or opposition to that decision—such as a party leader declaring that their party disagrees with the obligation to wear masks.</w:t>
      </w:r>
    </w:p>
  </w:footnote>
  <w:footnote w:id="6">
    <w:p w14:paraId="1C6C25E2" w14:textId="529D0F18"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The full Dataset and the related Codebooks will be uploaded to the SoDaNet Repository, </w:t>
      </w:r>
      <w:hyperlink r:id="rId1" w:history="1">
        <w:r w:rsidRPr="00EE361A">
          <w:rPr>
            <w:rStyle w:val="Collegamentoipertestuale"/>
            <w:rFonts w:asciiTheme="minorHAnsi" w:hAnsiTheme="minorHAnsi"/>
          </w:rPr>
          <w:t>https://www.sodanet.gr</w:t>
        </w:r>
      </w:hyperlink>
      <w:r w:rsidRPr="00EE361A">
        <w:rPr>
          <w:rFonts w:asciiTheme="minorHAnsi" w:hAnsiTheme="minorHAnsi"/>
        </w:rPr>
        <w:t xml:space="preserve">  </w:t>
      </w:r>
    </w:p>
  </w:footnote>
  <w:footnote w:id="7">
    <w:p w14:paraId="54AF3171" w14:textId="326AB68F" w:rsidR="00E128A6" w:rsidRPr="00EE361A" w:rsidRDefault="00E128A6" w:rsidP="00EE361A">
      <w:pPr>
        <w:pStyle w:val="Testonotaapidipagina"/>
        <w:jc w:val="both"/>
        <w:rPr>
          <w:rFonts w:asciiTheme="minorHAnsi" w:hAnsiTheme="minorHAnsi"/>
          <w:lang w:val="en-US"/>
        </w:rPr>
      </w:pPr>
      <w:r w:rsidRPr="00EE361A">
        <w:rPr>
          <w:rStyle w:val="Rimandonotaapidipagina"/>
          <w:rFonts w:asciiTheme="minorHAnsi" w:hAnsiTheme="minorHAnsi"/>
        </w:rPr>
        <w:footnoteRef/>
      </w:r>
      <w:r w:rsidRPr="00EE361A">
        <w:rPr>
          <w:rFonts w:asciiTheme="minorHAnsi" w:hAnsiTheme="minorHAnsi"/>
        </w:rPr>
        <w:t xml:space="preserve"> Newman, N., Fletcher, R., Robertson, C. T., Eddy, K., &amp; Nielsen, R. K. (2022). Reuters Institute digital news report 2022. Reuters Institute for the Study of Journalism. https://doi.org/10.60625/RISJ-X1GN-M549</w:t>
      </w:r>
    </w:p>
  </w:footnote>
  <w:footnote w:id="8">
    <w:p w14:paraId="68AB68B3" w14:textId="3F7BBF1B" w:rsidR="00E128A6" w:rsidRPr="00EE361A" w:rsidRDefault="00E128A6" w:rsidP="00EE361A">
      <w:pPr>
        <w:pStyle w:val="Testonotaapidipagina"/>
        <w:jc w:val="both"/>
        <w:rPr>
          <w:rFonts w:asciiTheme="minorHAnsi" w:hAnsiTheme="minorHAnsi" w:cstheme="minorHAnsi"/>
        </w:rPr>
      </w:pPr>
      <w:r w:rsidRPr="00EE361A">
        <w:rPr>
          <w:rStyle w:val="Rimandonotaapidipagina"/>
          <w:rFonts w:asciiTheme="minorHAnsi" w:eastAsiaTheme="majorEastAsia" w:hAnsiTheme="minorHAnsi" w:cstheme="minorHAnsi"/>
        </w:rPr>
        <w:footnoteRef/>
      </w:r>
      <w:r w:rsidRPr="00EE361A">
        <w:rPr>
          <w:rFonts w:asciiTheme="minorHAnsi" w:hAnsiTheme="minorHAnsi" w:cstheme="minorHAnsi"/>
        </w:rPr>
        <w:t>First period: 8 articles selected per newspaper for a total of  443 comments. Second period: 20 articles selected per newspaper for a total of 1,200 comments. Third period: 12 articles selected per newspaper for a total of 720 comments.</w:t>
      </w:r>
    </w:p>
  </w:footnote>
  <w:footnote w:id="9">
    <w:p w14:paraId="12DC8534" w14:textId="77777777"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A comment could either respond directly to the article’s issue or use the topic as a prompt to express a broader opinion (e.g., discussing vaccine safety under an article about reporting of daily COVID-19 deaths). In such cases, coders recorded the dominant focus of the comment.</w:t>
      </w:r>
    </w:p>
  </w:footnote>
  <w:footnote w:id="10">
    <w:p w14:paraId="663474F3" w14:textId="77777777"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Sotiris Tsiodras is a Professor of Medicine and Infectious Diseases at the National and Kapodistrian University of Athens Medical School, Chair </w:t>
      </w:r>
      <w:r w:rsidRPr="00EE361A">
        <w:rPr>
          <w:rFonts w:asciiTheme="minorHAnsi" w:hAnsiTheme="minorHAnsi" w:cstheme="minorHAnsi"/>
        </w:rPr>
        <w:t>of the Scientific Committee on Infectious Diseases</w:t>
      </w:r>
    </w:p>
  </w:footnote>
  <w:footnote w:id="11">
    <w:p w14:paraId="057789D7" w14:textId="77777777" w:rsidR="00E128A6" w:rsidRPr="00EE361A" w:rsidRDefault="00E128A6" w:rsidP="00EE361A">
      <w:pPr>
        <w:pStyle w:val="Testonotaapidipagina"/>
        <w:jc w:val="both"/>
        <w:rPr>
          <w:rFonts w:asciiTheme="minorHAnsi" w:hAnsiTheme="minorHAnsi"/>
        </w:rPr>
      </w:pPr>
      <w:r w:rsidRPr="00EE361A">
        <w:rPr>
          <w:rStyle w:val="Rimandonotaapidipagina"/>
          <w:rFonts w:asciiTheme="minorHAnsi" w:eastAsiaTheme="majorEastAsia" w:hAnsiTheme="minorHAnsi"/>
        </w:rPr>
        <w:footnoteRef/>
      </w:r>
      <w:r w:rsidRPr="00EE361A">
        <w:rPr>
          <w:rFonts w:asciiTheme="minorHAnsi" w:hAnsiTheme="minorHAnsi"/>
        </w:rPr>
        <w:t xml:space="preserve"> </w:t>
      </w:r>
      <w:r w:rsidRPr="00EE361A">
        <w:rPr>
          <w:rFonts w:asciiTheme="minorHAnsi" w:hAnsiTheme="minorHAnsi" w:cstheme="minorHAnsi"/>
        </w:rPr>
        <w:t>Six emergency room beds for 100,000 people, which is half of the average in the EU, at almost 12 per 100,000 capita. In practice, it means 560 Intensive Care Unit (ICU) beds for a country of 10.7 million people (Psaropoulos 2020).</w:t>
      </w:r>
    </w:p>
  </w:footnote>
  <w:footnote w:id="12">
    <w:p w14:paraId="55EF9E5F" w14:textId="77777777" w:rsidR="00E128A6" w:rsidRPr="00EE361A" w:rsidRDefault="00E128A6" w:rsidP="00EE361A">
      <w:pPr>
        <w:pStyle w:val="Testonotaapidipagina"/>
        <w:jc w:val="both"/>
        <w:rPr>
          <w:rFonts w:asciiTheme="minorHAnsi" w:hAnsiTheme="minorHAnsi"/>
        </w:rPr>
      </w:pPr>
      <w:r w:rsidRPr="00EE361A">
        <w:rPr>
          <w:rStyle w:val="Rimandonotaapidipagina"/>
          <w:rFonts w:asciiTheme="minorHAnsi" w:hAnsiTheme="minorHAnsi"/>
        </w:rPr>
        <w:footnoteRef/>
      </w:r>
      <w:r w:rsidRPr="00EE361A">
        <w:rPr>
          <w:rFonts w:asciiTheme="minorHAnsi" w:hAnsiTheme="minorHAnsi"/>
        </w:rPr>
        <w:t xml:space="preserve"> European Commission. (2010). </w:t>
      </w:r>
      <w:r w:rsidRPr="00EE361A">
        <w:rPr>
          <w:rFonts w:asciiTheme="minorHAnsi" w:hAnsiTheme="minorHAnsi"/>
          <w:i/>
          <w:iCs/>
        </w:rPr>
        <w:t>Eurobarometer 73: Public opinion in the European Union</w:t>
      </w:r>
      <w:r w:rsidRPr="00EE361A">
        <w:rPr>
          <w:rFonts w:asciiTheme="minorHAnsi" w:hAnsiTheme="minorHAnsi"/>
        </w:rPr>
        <w:t> (Standard Eurobarometer 73, Vol. 1). Publications Office of the European Union. </w:t>
      </w:r>
      <w:hyperlink r:id="rId2" w:tgtFrame="_new" w:history="1">
        <w:r w:rsidRPr="00EE361A">
          <w:rPr>
            <w:rStyle w:val="Collegamentoipertestuale"/>
            <w:rFonts w:asciiTheme="minorHAnsi" w:hAnsiTheme="minorHAnsi"/>
          </w:rPr>
          <w:t>https://europa.eu/eurobarometer/api/deliverable/download/file?deliverableId=46391</w:t>
        </w:r>
      </w:hyperlink>
    </w:p>
    <w:p w14:paraId="649B953A" w14:textId="77777777" w:rsidR="00E128A6" w:rsidRPr="00EE361A" w:rsidRDefault="00E128A6" w:rsidP="00EE361A">
      <w:pPr>
        <w:pStyle w:val="Testonotaapidipagina"/>
        <w:jc w:val="both"/>
        <w:rPr>
          <w:rFonts w:asciiTheme="minorHAnsi" w:hAnsiTheme="minorHAnsi"/>
          <w:lang w:val="en-US"/>
        </w:rPr>
      </w:pPr>
      <w:r w:rsidRPr="00EE361A">
        <w:rPr>
          <w:rFonts w:asciiTheme="minorHAnsi" w:hAnsiTheme="minorHAnsi"/>
        </w:rPr>
        <w:t>European Commission. (2016). </w:t>
      </w:r>
      <w:r w:rsidRPr="00EE361A">
        <w:rPr>
          <w:rFonts w:asciiTheme="minorHAnsi" w:hAnsiTheme="minorHAnsi"/>
          <w:i/>
          <w:iCs/>
        </w:rPr>
        <w:t>Standard Eurobarometer 86: Public opinion in the European Union</w:t>
      </w:r>
      <w:r w:rsidRPr="00EE361A">
        <w:rPr>
          <w:rFonts w:asciiTheme="minorHAnsi" w:hAnsiTheme="minorHAnsi"/>
        </w:rPr>
        <w:t xml:space="preserve"> – </w:t>
      </w:r>
      <w:r w:rsidRPr="00EE361A">
        <w:rPr>
          <w:rFonts w:asciiTheme="minorHAnsi" w:hAnsiTheme="minorHAnsi"/>
          <w:i/>
          <w:iCs/>
        </w:rPr>
        <w:t>Greece</w:t>
      </w:r>
      <w:r w:rsidRPr="00EE361A">
        <w:rPr>
          <w:rFonts w:asciiTheme="minorHAnsi" w:hAnsiTheme="minorHAnsi"/>
        </w:rPr>
        <w:t>. Publications Office of the European Union. https://europa.eu/eurobarometer/api/deliverable/download/file?deliverableId=60023</w:t>
      </w:r>
    </w:p>
  </w:footnote>
  <w:footnote w:id="13">
    <w:p w14:paraId="3FB8AF6E" w14:textId="77777777" w:rsidR="00E128A6" w:rsidRPr="00EE361A" w:rsidRDefault="00E128A6" w:rsidP="00EE361A">
      <w:pPr>
        <w:pStyle w:val="Testonotaapidipagina"/>
        <w:jc w:val="both"/>
        <w:rPr>
          <w:rFonts w:asciiTheme="minorHAnsi" w:hAnsiTheme="minorHAnsi"/>
          <w:lang w:val="en-US"/>
        </w:rPr>
      </w:pPr>
      <w:r w:rsidRPr="00EE361A">
        <w:rPr>
          <w:rStyle w:val="Rimandonotaapidipagina"/>
          <w:rFonts w:asciiTheme="minorHAnsi" w:hAnsiTheme="minorHAnsi"/>
        </w:rPr>
        <w:footnoteRef/>
      </w:r>
      <w:r w:rsidRPr="00EE361A">
        <w:rPr>
          <w:rFonts w:asciiTheme="minorHAnsi" w:hAnsiTheme="minorHAnsi"/>
        </w:rPr>
        <w:t xml:space="preserve"> The “Digital Green Certificate” was introduced to facilitate safe and free movement within the European Union during the COVID-19 pandemic. It provides proof that a person has either been vaccinated against COVID-19, received a negative test result, or recovered from COVID-19, and it is recognized across all EU Member States.</w:t>
      </w:r>
    </w:p>
  </w:footnote>
  <w:footnote w:id="14">
    <w:p w14:paraId="3DF8F9A6" w14:textId="2CB0C041" w:rsidR="00E128A6" w:rsidRPr="00EE361A" w:rsidRDefault="00E128A6" w:rsidP="00EE361A">
      <w:pPr>
        <w:pStyle w:val="Testonotaapidipagina"/>
        <w:jc w:val="both"/>
        <w:rPr>
          <w:lang w:val="en-US"/>
        </w:rPr>
      </w:pPr>
      <w:r w:rsidRPr="00EE361A">
        <w:rPr>
          <w:rStyle w:val="Rimandonotaapidipagina"/>
        </w:rPr>
        <w:footnoteRef/>
      </w:r>
      <w:r w:rsidRPr="00EE361A">
        <w:t xml:space="preserve"> </w:t>
      </w:r>
      <w:r w:rsidRPr="00EE361A">
        <w:rPr>
          <w:lang w:val="en-US"/>
        </w:rPr>
        <w:t>In the Greek political system, the government is formed by a political party, and most ministers are also MPs from that party. Therefore, interactions between state actors and the ruling party practically reflect the same actor, making such exchanges rare when examining the sender–addressee relations.</w:t>
      </w:r>
    </w:p>
  </w:footnote>
  <w:footnote w:id="15">
    <w:p w14:paraId="0A12F8EA" w14:textId="77777777" w:rsidR="00E128A6" w:rsidRPr="00A06C11" w:rsidRDefault="00E128A6" w:rsidP="00EB4CBD">
      <w:pPr>
        <w:pStyle w:val="Testonotaapidipagina"/>
        <w:jc w:val="both"/>
        <w:rPr>
          <w:rFonts w:asciiTheme="minorHAnsi" w:hAnsiTheme="minorHAnsi"/>
          <w:lang w:val="en-US"/>
        </w:rPr>
      </w:pPr>
      <w:r w:rsidRPr="00EE361A">
        <w:rPr>
          <w:rStyle w:val="Rimandonotaapidipagina"/>
          <w:rFonts w:asciiTheme="minorHAnsi" w:hAnsiTheme="minorHAnsi"/>
        </w:rPr>
        <w:footnoteRef/>
      </w:r>
      <w:r w:rsidRPr="00EE361A">
        <w:rPr>
          <w:rFonts w:asciiTheme="minorHAnsi" w:hAnsiTheme="minorHAnsi"/>
        </w:rPr>
        <w:t xml:space="preserve"> Issue categories were coded according to the POCO-COVID project’s coding scheme, which distinguishes between five main thematic domains: (1) political management of the pandemic (e.g., lockdowns, vaccination policy, support measures); (2) health management (e.g., protective measures, testing, health-system capacity); (3) direct health issues related to COVID-19 (e.g., symptoms, immunity, vaccine safety); (4) individual behaviour and experiences (e.g., responsibility, rights, everyday practices); and (5) economic and (6) socio-political effects (e.g., unemployment, media behaviour, activism). A separate category was created for denial and conspiracy theories, capturing narratives such as COVID-19 denial, anti-vaccination discourse, and “new world order” claims.</w:t>
      </w:r>
      <w:r w:rsidRPr="00A06C11">
        <w:rPr>
          <w:rFonts w:asciiTheme="minorHAnsi" w:hAnsiTheme="minorHAnsi"/>
        </w:rPr>
        <w:t xml:space="preserve"> </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449FA"/>
    <w:multiLevelType w:val="multilevel"/>
    <w:tmpl w:val="61161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790280D"/>
    <w:multiLevelType w:val="hybridMultilevel"/>
    <w:tmpl w:val="79A0586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15:restartNumberingAfterBreak="0">
    <w:nsid w:val="1D15700A"/>
    <w:multiLevelType w:val="multilevel"/>
    <w:tmpl w:val="14C41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E345DC"/>
    <w:multiLevelType w:val="multilevel"/>
    <w:tmpl w:val="9904B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71A374C"/>
    <w:multiLevelType w:val="multilevel"/>
    <w:tmpl w:val="5312510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5CFD1DA8"/>
    <w:multiLevelType w:val="multilevel"/>
    <w:tmpl w:val="B7D04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1"/>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7F0"/>
    <w:rsid w:val="000013C6"/>
    <w:rsid w:val="0000590F"/>
    <w:rsid w:val="00016824"/>
    <w:rsid w:val="00021AED"/>
    <w:rsid w:val="000227EF"/>
    <w:rsid w:val="000357DB"/>
    <w:rsid w:val="000614FC"/>
    <w:rsid w:val="0006771F"/>
    <w:rsid w:val="00071A11"/>
    <w:rsid w:val="00076A30"/>
    <w:rsid w:val="00093276"/>
    <w:rsid w:val="00093410"/>
    <w:rsid w:val="000957B8"/>
    <w:rsid w:val="000A14ED"/>
    <w:rsid w:val="000B451E"/>
    <w:rsid w:val="000C1844"/>
    <w:rsid w:val="000C366B"/>
    <w:rsid w:val="000C743F"/>
    <w:rsid w:val="000D0554"/>
    <w:rsid w:val="000D6E01"/>
    <w:rsid w:val="000F38D2"/>
    <w:rsid w:val="000F787D"/>
    <w:rsid w:val="00102BC7"/>
    <w:rsid w:val="00104C16"/>
    <w:rsid w:val="00107553"/>
    <w:rsid w:val="00117A6A"/>
    <w:rsid w:val="00123C6E"/>
    <w:rsid w:val="001348B4"/>
    <w:rsid w:val="00134BE6"/>
    <w:rsid w:val="001421EB"/>
    <w:rsid w:val="00145C63"/>
    <w:rsid w:val="001521C5"/>
    <w:rsid w:val="00152468"/>
    <w:rsid w:val="001537A6"/>
    <w:rsid w:val="00154C79"/>
    <w:rsid w:val="001719A4"/>
    <w:rsid w:val="00185D8A"/>
    <w:rsid w:val="00186D53"/>
    <w:rsid w:val="00191230"/>
    <w:rsid w:val="0019398A"/>
    <w:rsid w:val="001B3787"/>
    <w:rsid w:val="001C30C2"/>
    <w:rsid w:val="001E7414"/>
    <w:rsid w:val="00201387"/>
    <w:rsid w:val="0020180B"/>
    <w:rsid w:val="00203101"/>
    <w:rsid w:val="00204DA8"/>
    <w:rsid w:val="00224793"/>
    <w:rsid w:val="00224AD4"/>
    <w:rsid w:val="002269C9"/>
    <w:rsid w:val="0023622B"/>
    <w:rsid w:val="00240EA8"/>
    <w:rsid w:val="00251868"/>
    <w:rsid w:val="002557F4"/>
    <w:rsid w:val="0025701A"/>
    <w:rsid w:val="00271FEE"/>
    <w:rsid w:val="00274D7F"/>
    <w:rsid w:val="00280061"/>
    <w:rsid w:val="00294911"/>
    <w:rsid w:val="00297B9C"/>
    <w:rsid w:val="002A5152"/>
    <w:rsid w:val="002C07D2"/>
    <w:rsid w:val="002E5C10"/>
    <w:rsid w:val="002E7878"/>
    <w:rsid w:val="002F6A70"/>
    <w:rsid w:val="00310121"/>
    <w:rsid w:val="00317354"/>
    <w:rsid w:val="0032634B"/>
    <w:rsid w:val="003277F4"/>
    <w:rsid w:val="003628FB"/>
    <w:rsid w:val="00376FF6"/>
    <w:rsid w:val="003C41D4"/>
    <w:rsid w:val="003C77CA"/>
    <w:rsid w:val="003D00F5"/>
    <w:rsid w:val="003D4112"/>
    <w:rsid w:val="003D4229"/>
    <w:rsid w:val="003E6B7F"/>
    <w:rsid w:val="003F5A41"/>
    <w:rsid w:val="004028E0"/>
    <w:rsid w:val="004028E9"/>
    <w:rsid w:val="004052AF"/>
    <w:rsid w:val="00410595"/>
    <w:rsid w:val="00415EC2"/>
    <w:rsid w:val="00420397"/>
    <w:rsid w:val="00430483"/>
    <w:rsid w:val="00431A8C"/>
    <w:rsid w:val="004366BD"/>
    <w:rsid w:val="004649F8"/>
    <w:rsid w:val="00475700"/>
    <w:rsid w:val="004774AC"/>
    <w:rsid w:val="004821B2"/>
    <w:rsid w:val="00487F1B"/>
    <w:rsid w:val="00495539"/>
    <w:rsid w:val="00496DF6"/>
    <w:rsid w:val="004A1701"/>
    <w:rsid w:val="004A1D98"/>
    <w:rsid w:val="004A2DDD"/>
    <w:rsid w:val="004A2F93"/>
    <w:rsid w:val="004A7D04"/>
    <w:rsid w:val="004B4C8D"/>
    <w:rsid w:val="004D1190"/>
    <w:rsid w:val="004D1881"/>
    <w:rsid w:val="004D2D51"/>
    <w:rsid w:val="004D52C8"/>
    <w:rsid w:val="004D712D"/>
    <w:rsid w:val="004E0ED1"/>
    <w:rsid w:val="004E4B4A"/>
    <w:rsid w:val="004E6227"/>
    <w:rsid w:val="004F00D0"/>
    <w:rsid w:val="0051444E"/>
    <w:rsid w:val="00515148"/>
    <w:rsid w:val="00517389"/>
    <w:rsid w:val="005275E0"/>
    <w:rsid w:val="00527866"/>
    <w:rsid w:val="005422D6"/>
    <w:rsid w:val="0055372F"/>
    <w:rsid w:val="00555026"/>
    <w:rsid w:val="00566D2C"/>
    <w:rsid w:val="005725A9"/>
    <w:rsid w:val="0058471F"/>
    <w:rsid w:val="005876D9"/>
    <w:rsid w:val="00587FA5"/>
    <w:rsid w:val="00590BD7"/>
    <w:rsid w:val="00595177"/>
    <w:rsid w:val="005968D1"/>
    <w:rsid w:val="005A35C9"/>
    <w:rsid w:val="005B6658"/>
    <w:rsid w:val="005D2498"/>
    <w:rsid w:val="005E522E"/>
    <w:rsid w:val="005E52A8"/>
    <w:rsid w:val="0060268E"/>
    <w:rsid w:val="006040F0"/>
    <w:rsid w:val="0060663E"/>
    <w:rsid w:val="00610471"/>
    <w:rsid w:val="006116C7"/>
    <w:rsid w:val="00614B74"/>
    <w:rsid w:val="00615AD1"/>
    <w:rsid w:val="0062030C"/>
    <w:rsid w:val="00621DA5"/>
    <w:rsid w:val="00633DB1"/>
    <w:rsid w:val="0063750D"/>
    <w:rsid w:val="006423B0"/>
    <w:rsid w:val="006434A2"/>
    <w:rsid w:val="00660B04"/>
    <w:rsid w:val="00661CDF"/>
    <w:rsid w:val="0066605E"/>
    <w:rsid w:val="00675782"/>
    <w:rsid w:val="0068522A"/>
    <w:rsid w:val="0068560A"/>
    <w:rsid w:val="00692DA2"/>
    <w:rsid w:val="0069492B"/>
    <w:rsid w:val="00697030"/>
    <w:rsid w:val="006A5EEF"/>
    <w:rsid w:val="006B7964"/>
    <w:rsid w:val="006C0C76"/>
    <w:rsid w:val="006C4C7B"/>
    <w:rsid w:val="006C75CD"/>
    <w:rsid w:val="006D01D6"/>
    <w:rsid w:val="006D2E4F"/>
    <w:rsid w:val="006E2E79"/>
    <w:rsid w:val="006F4D1A"/>
    <w:rsid w:val="006F5959"/>
    <w:rsid w:val="00701D42"/>
    <w:rsid w:val="0070369C"/>
    <w:rsid w:val="00722888"/>
    <w:rsid w:val="00723724"/>
    <w:rsid w:val="00724EA8"/>
    <w:rsid w:val="00732C94"/>
    <w:rsid w:val="007379A4"/>
    <w:rsid w:val="00741C2A"/>
    <w:rsid w:val="00741ED2"/>
    <w:rsid w:val="00742AA7"/>
    <w:rsid w:val="00743F3C"/>
    <w:rsid w:val="00744493"/>
    <w:rsid w:val="00752B62"/>
    <w:rsid w:val="0075517D"/>
    <w:rsid w:val="00755BD9"/>
    <w:rsid w:val="0075686B"/>
    <w:rsid w:val="00760F99"/>
    <w:rsid w:val="0076777F"/>
    <w:rsid w:val="007723B7"/>
    <w:rsid w:val="00776130"/>
    <w:rsid w:val="007911F0"/>
    <w:rsid w:val="007972AB"/>
    <w:rsid w:val="007B1CEB"/>
    <w:rsid w:val="007B241E"/>
    <w:rsid w:val="007B3500"/>
    <w:rsid w:val="007B6D32"/>
    <w:rsid w:val="007B7255"/>
    <w:rsid w:val="007C1668"/>
    <w:rsid w:val="007C50BB"/>
    <w:rsid w:val="007C76C5"/>
    <w:rsid w:val="007D367D"/>
    <w:rsid w:val="007D3C33"/>
    <w:rsid w:val="007E1F47"/>
    <w:rsid w:val="007F46CF"/>
    <w:rsid w:val="007F7880"/>
    <w:rsid w:val="00811130"/>
    <w:rsid w:val="008143FC"/>
    <w:rsid w:val="008429DD"/>
    <w:rsid w:val="008431BB"/>
    <w:rsid w:val="0084529A"/>
    <w:rsid w:val="008473EE"/>
    <w:rsid w:val="0085166C"/>
    <w:rsid w:val="00855AEA"/>
    <w:rsid w:val="0086203F"/>
    <w:rsid w:val="00871E45"/>
    <w:rsid w:val="00896386"/>
    <w:rsid w:val="008A2119"/>
    <w:rsid w:val="008B3010"/>
    <w:rsid w:val="008B4CE5"/>
    <w:rsid w:val="008C53D6"/>
    <w:rsid w:val="008C5EED"/>
    <w:rsid w:val="008D508A"/>
    <w:rsid w:val="008E2B90"/>
    <w:rsid w:val="008E513E"/>
    <w:rsid w:val="008F42E5"/>
    <w:rsid w:val="008F62F4"/>
    <w:rsid w:val="009028BD"/>
    <w:rsid w:val="00914D3E"/>
    <w:rsid w:val="0091531F"/>
    <w:rsid w:val="00915AFF"/>
    <w:rsid w:val="009247F0"/>
    <w:rsid w:val="0092749F"/>
    <w:rsid w:val="009330BA"/>
    <w:rsid w:val="009341F7"/>
    <w:rsid w:val="00947A39"/>
    <w:rsid w:val="00947A44"/>
    <w:rsid w:val="00965056"/>
    <w:rsid w:val="0098219D"/>
    <w:rsid w:val="0099660F"/>
    <w:rsid w:val="009A754E"/>
    <w:rsid w:val="009B59C8"/>
    <w:rsid w:val="009C083F"/>
    <w:rsid w:val="009C0C9C"/>
    <w:rsid w:val="009D26CC"/>
    <w:rsid w:val="009D5004"/>
    <w:rsid w:val="009F04CB"/>
    <w:rsid w:val="009F6876"/>
    <w:rsid w:val="00A00CAA"/>
    <w:rsid w:val="00A01DED"/>
    <w:rsid w:val="00A06C11"/>
    <w:rsid w:val="00A21CAB"/>
    <w:rsid w:val="00A22182"/>
    <w:rsid w:val="00A2689E"/>
    <w:rsid w:val="00A35D46"/>
    <w:rsid w:val="00A4362E"/>
    <w:rsid w:val="00A43E8F"/>
    <w:rsid w:val="00A43F71"/>
    <w:rsid w:val="00A51B3B"/>
    <w:rsid w:val="00A5453E"/>
    <w:rsid w:val="00A63DC1"/>
    <w:rsid w:val="00A70CBA"/>
    <w:rsid w:val="00A74D56"/>
    <w:rsid w:val="00A81540"/>
    <w:rsid w:val="00A87C97"/>
    <w:rsid w:val="00A90C8B"/>
    <w:rsid w:val="00AA4001"/>
    <w:rsid w:val="00AB5034"/>
    <w:rsid w:val="00AB76FD"/>
    <w:rsid w:val="00AC5F03"/>
    <w:rsid w:val="00AC7E37"/>
    <w:rsid w:val="00AD30F4"/>
    <w:rsid w:val="00AD70A6"/>
    <w:rsid w:val="00AE0F29"/>
    <w:rsid w:val="00AF3C82"/>
    <w:rsid w:val="00B002B5"/>
    <w:rsid w:val="00B0083F"/>
    <w:rsid w:val="00B03663"/>
    <w:rsid w:val="00B03F4F"/>
    <w:rsid w:val="00B10646"/>
    <w:rsid w:val="00B14931"/>
    <w:rsid w:val="00B453F3"/>
    <w:rsid w:val="00B467BD"/>
    <w:rsid w:val="00B46B71"/>
    <w:rsid w:val="00B53ABE"/>
    <w:rsid w:val="00B550B5"/>
    <w:rsid w:val="00B56CC3"/>
    <w:rsid w:val="00B667A5"/>
    <w:rsid w:val="00B84DD2"/>
    <w:rsid w:val="00B8674A"/>
    <w:rsid w:val="00B9144B"/>
    <w:rsid w:val="00BA1E0B"/>
    <w:rsid w:val="00BA608F"/>
    <w:rsid w:val="00BB1BC7"/>
    <w:rsid w:val="00BB402F"/>
    <w:rsid w:val="00BB7A89"/>
    <w:rsid w:val="00BC39C1"/>
    <w:rsid w:val="00BE12D7"/>
    <w:rsid w:val="00BE2F79"/>
    <w:rsid w:val="00BE691E"/>
    <w:rsid w:val="00BF6BF4"/>
    <w:rsid w:val="00BF794C"/>
    <w:rsid w:val="00C40F04"/>
    <w:rsid w:val="00C45AB5"/>
    <w:rsid w:val="00C522E5"/>
    <w:rsid w:val="00C55637"/>
    <w:rsid w:val="00C55BF3"/>
    <w:rsid w:val="00C663FB"/>
    <w:rsid w:val="00C92338"/>
    <w:rsid w:val="00C928D5"/>
    <w:rsid w:val="00C94AA0"/>
    <w:rsid w:val="00C95169"/>
    <w:rsid w:val="00CA0742"/>
    <w:rsid w:val="00CB0955"/>
    <w:rsid w:val="00CB136A"/>
    <w:rsid w:val="00CD10FE"/>
    <w:rsid w:val="00CE0BFA"/>
    <w:rsid w:val="00CE6EB0"/>
    <w:rsid w:val="00CF0403"/>
    <w:rsid w:val="00CF55CB"/>
    <w:rsid w:val="00CF7956"/>
    <w:rsid w:val="00D1722C"/>
    <w:rsid w:val="00D20D06"/>
    <w:rsid w:val="00D22C2B"/>
    <w:rsid w:val="00D23110"/>
    <w:rsid w:val="00D25062"/>
    <w:rsid w:val="00D278F9"/>
    <w:rsid w:val="00D30C46"/>
    <w:rsid w:val="00D328A1"/>
    <w:rsid w:val="00D33377"/>
    <w:rsid w:val="00D41784"/>
    <w:rsid w:val="00D437D9"/>
    <w:rsid w:val="00D47EB5"/>
    <w:rsid w:val="00D50560"/>
    <w:rsid w:val="00D556FB"/>
    <w:rsid w:val="00D613A6"/>
    <w:rsid w:val="00D640CC"/>
    <w:rsid w:val="00D664FD"/>
    <w:rsid w:val="00D851CE"/>
    <w:rsid w:val="00D876F4"/>
    <w:rsid w:val="00D877B2"/>
    <w:rsid w:val="00D9565F"/>
    <w:rsid w:val="00DA3DA2"/>
    <w:rsid w:val="00DB19F2"/>
    <w:rsid w:val="00DB579E"/>
    <w:rsid w:val="00DB6318"/>
    <w:rsid w:val="00DC43B2"/>
    <w:rsid w:val="00DD5D3A"/>
    <w:rsid w:val="00DE2EB4"/>
    <w:rsid w:val="00DE41C0"/>
    <w:rsid w:val="00DF07AE"/>
    <w:rsid w:val="00DF396A"/>
    <w:rsid w:val="00DF3BD2"/>
    <w:rsid w:val="00E05B53"/>
    <w:rsid w:val="00E10FF5"/>
    <w:rsid w:val="00E128A6"/>
    <w:rsid w:val="00E13074"/>
    <w:rsid w:val="00E13C1F"/>
    <w:rsid w:val="00E21260"/>
    <w:rsid w:val="00E226E0"/>
    <w:rsid w:val="00E27FAD"/>
    <w:rsid w:val="00E310FF"/>
    <w:rsid w:val="00E3526F"/>
    <w:rsid w:val="00E35F20"/>
    <w:rsid w:val="00E41123"/>
    <w:rsid w:val="00E47932"/>
    <w:rsid w:val="00E47AF1"/>
    <w:rsid w:val="00E50B7B"/>
    <w:rsid w:val="00E52F17"/>
    <w:rsid w:val="00E55B07"/>
    <w:rsid w:val="00E62040"/>
    <w:rsid w:val="00E7516E"/>
    <w:rsid w:val="00E82FF1"/>
    <w:rsid w:val="00E847AD"/>
    <w:rsid w:val="00E85792"/>
    <w:rsid w:val="00E956AF"/>
    <w:rsid w:val="00EB1521"/>
    <w:rsid w:val="00EB4CBD"/>
    <w:rsid w:val="00EB5177"/>
    <w:rsid w:val="00ED17BA"/>
    <w:rsid w:val="00EE361A"/>
    <w:rsid w:val="00EE3778"/>
    <w:rsid w:val="00EE6DE8"/>
    <w:rsid w:val="00F0001A"/>
    <w:rsid w:val="00F01910"/>
    <w:rsid w:val="00F02BC2"/>
    <w:rsid w:val="00F04F24"/>
    <w:rsid w:val="00F0745A"/>
    <w:rsid w:val="00F22204"/>
    <w:rsid w:val="00F3265B"/>
    <w:rsid w:val="00F37D00"/>
    <w:rsid w:val="00F46816"/>
    <w:rsid w:val="00F52E10"/>
    <w:rsid w:val="00F53063"/>
    <w:rsid w:val="00F533FC"/>
    <w:rsid w:val="00F74124"/>
    <w:rsid w:val="00F75152"/>
    <w:rsid w:val="00F80B69"/>
    <w:rsid w:val="00F83A6A"/>
    <w:rsid w:val="00F84A16"/>
    <w:rsid w:val="00F8695F"/>
    <w:rsid w:val="00F8749E"/>
    <w:rsid w:val="00F97DCA"/>
    <w:rsid w:val="00FA1A3B"/>
    <w:rsid w:val="00FA3A3F"/>
    <w:rsid w:val="00FB5F31"/>
    <w:rsid w:val="00FC1B20"/>
    <w:rsid w:val="00FD0E54"/>
    <w:rsid w:val="00FD25F9"/>
    <w:rsid w:val="00FD437A"/>
    <w:rsid w:val="00FE28F6"/>
    <w:rsid w:val="00FE4025"/>
    <w:rsid w:val="00FE70C9"/>
    <w:rsid w:val="00FE79CC"/>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784E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l-GR"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247F0"/>
    <w:rPr>
      <w:rFonts w:ascii="Times New Roman" w:eastAsia="Times New Roman" w:hAnsi="Times New Roman" w:cs="Times New Roman"/>
      <w:kern w:val="0"/>
      <w:lang w:val="en-GB" w:eastAsia="el-GR"/>
      <w14:ligatures w14:val="none"/>
    </w:rPr>
  </w:style>
  <w:style w:type="paragraph" w:styleId="Titolo1">
    <w:name w:val="heading 1"/>
    <w:basedOn w:val="Normale"/>
    <w:next w:val="Normale"/>
    <w:link w:val="Titolo1Carattere"/>
    <w:uiPriority w:val="9"/>
    <w:qFormat/>
    <w:rsid w:val="009247F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247F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247F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247F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247F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247F0"/>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247F0"/>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247F0"/>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247F0"/>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247F0"/>
    <w:rPr>
      <w:rFonts w:asciiTheme="majorHAnsi" w:eastAsiaTheme="majorEastAsia" w:hAnsiTheme="majorHAnsi" w:cstheme="majorBidi"/>
      <w:color w:val="0F4761" w:themeColor="accent1" w:themeShade="BF"/>
      <w:sz w:val="40"/>
      <w:szCs w:val="40"/>
      <w:lang w:val="en-US"/>
    </w:rPr>
  </w:style>
  <w:style w:type="character" w:customStyle="1" w:styleId="Titolo2Carattere">
    <w:name w:val="Titolo 2 Carattere"/>
    <w:basedOn w:val="Carpredefinitoparagrafo"/>
    <w:link w:val="Titolo2"/>
    <w:uiPriority w:val="9"/>
    <w:semiHidden/>
    <w:rsid w:val="009247F0"/>
    <w:rPr>
      <w:rFonts w:asciiTheme="majorHAnsi" w:eastAsiaTheme="majorEastAsia" w:hAnsiTheme="majorHAnsi" w:cstheme="majorBidi"/>
      <w:color w:val="0F4761" w:themeColor="accent1" w:themeShade="BF"/>
      <w:sz w:val="32"/>
      <w:szCs w:val="32"/>
      <w:lang w:val="en-US"/>
    </w:rPr>
  </w:style>
  <w:style w:type="character" w:customStyle="1" w:styleId="Titolo3Carattere">
    <w:name w:val="Titolo 3 Carattere"/>
    <w:basedOn w:val="Carpredefinitoparagrafo"/>
    <w:link w:val="Titolo3"/>
    <w:uiPriority w:val="9"/>
    <w:semiHidden/>
    <w:rsid w:val="009247F0"/>
    <w:rPr>
      <w:rFonts w:eastAsiaTheme="majorEastAsia" w:cstheme="majorBidi"/>
      <w:color w:val="0F4761" w:themeColor="accent1" w:themeShade="BF"/>
      <w:sz w:val="28"/>
      <w:szCs w:val="28"/>
      <w:lang w:val="en-US"/>
    </w:rPr>
  </w:style>
  <w:style w:type="character" w:customStyle="1" w:styleId="Titolo4Carattere">
    <w:name w:val="Titolo 4 Carattere"/>
    <w:basedOn w:val="Carpredefinitoparagrafo"/>
    <w:link w:val="Titolo4"/>
    <w:uiPriority w:val="9"/>
    <w:semiHidden/>
    <w:rsid w:val="009247F0"/>
    <w:rPr>
      <w:rFonts w:eastAsiaTheme="majorEastAsia" w:cstheme="majorBidi"/>
      <w:i/>
      <w:iCs/>
      <w:color w:val="0F4761" w:themeColor="accent1" w:themeShade="BF"/>
      <w:lang w:val="en-US"/>
    </w:rPr>
  </w:style>
  <w:style w:type="character" w:customStyle="1" w:styleId="Titolo5Carattere">
    <w:name w:val="Titolo 5 Carattere"/>
    <w:basedOn w:val="Carpredefinitoparagrafo"/>
    <w:link w:val="Titolo5"/>
    <w:uiPriority w:val="9"/>
    <w:semiHidden/>
    <w:rsid w:val="009247F0"/>
    <w:rPr>
      <w:rFonts w:eastAsiaTheme="majorEastAsia" w:cstheme="majorBidi"/>
      <w:color w:val="0F4761" w:themeColor="accent1" w:themeShade="BF"/>
      <w:lang w:val="en-US"/>
    </w:rPr>
  </w:style>
  <w:style w:type="character" w:customStyle="1" w:styleId="Titolo6Carattere">
    <w:name w:val="Titolo 6 Carattere"/>
    <w:basedOn w:val="Carpredefinitoparagrafo"/>
    <w:link w:val="Titolo6"/>
    <w:uiPriority w:val="9"/>
    <w:semiHidden/>
    <w:rsid w:val="009247F0"/>
    <w:rPr>
      <w:rFonts w:eastAsiaTheme="majorEastAsia" w:cstheme="majorBidi"/>
      <w:i/>
      <w:iCs/>
      <w:color w:val="595959" w:themeColor="text1" w:themeTint="A6"/>
      <w:lang w:val="en-US"/>
    </w:rPr>
  </w:style>
  <w:style w:type="character" w:customStyle="1" w:styleId="Titolo7Carattere">
    <w:name w:val="Titolo 7 Carattere"/>
    <w:basedOn w:val="Carpredefinitoparagrafo"/>
    <w:link w:val="Titolo7"/>
    <w:uiPriority w:val="9"/>
    <w:semiHidden/>
    <w:rsid w:val="009247F0"/>
    <w:rPr>
      <w:rFonts w:eastAsiaTheme="majorEastAsia" w:cstheme="majorBidi"/>
      <w:color w:val="595959" w:themeColor="text1" w:themeTint="A6"/>
      <w:lang w:val="en-US"/>
    </w:rPr>
  </w:style>
  <w:style w:type="character" w:customStyle="1" w:styleId="Titolo8Carattere">
    <w:name w:val="Titolo 8 Carattere"/>
    <w:basedOn w:val="Carpredefinitoparagrafo"/>
    <w:link w:val="Titolo8"/>
    <w:uiPriority w:val="9"/>
    <w:semiHidden/>
    <w:rsid w:val="009247F0"/>
    <w:rPr>
      <w:rFonts w:eastAsiaTheme="majorEastAsia" w:cstheme="majorBidi"/>
      <w:i/>
      <w:iCs/>
      <w:color w:val="272727" w:themeColor="text1" w:themeTint="D8"/>
      <w:lang w:val="en-US"/>
    </w:rPr>
  </w:style>
  <w:style w:type="character" w:customStyle="1" w:styleId="Titolo9Carattere">
    <w:name w:val="Titolo 9 Carattere"/>
    <w:basedOn w:val="Carpredefinitoparagrafo"/>
    <w:link w:val="Titolo9"/>
    <w:uiPriority w:val="9"/>
    <w:semiHidden/>
    <w:rsid w:val="009247F0"/>
    <w:rPr>
      <w:rFonts w:eastAsiaTheme="majorEastAsia" w:cstheme="majorBidi"/>
      <w:color w:val="272727" w:themeColor="text1" w:themeTint="D8"/>
      <w:lang w:val="en-US"/>
    </w:rPr>
  </w:style>
  <w:style w:type="paragraph" w:styleId="Titolo">
    <w:name w:val="Title"/>
    <w:basedOn w:val="Normale"/>
    <w:next w:val="Normale"/>
    <w:link w:val="TitoloCarattere"/>
    <w:uiPriority w:val="10"/>
    <w:qFormat/>
    <w:rsid w:val="009247F0"/>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247F0"/>
    <w:rPr>
      <w:rFonts w:asciiTheme="majorHAnsi" w:eastAsiaTheme="majorEastAsia" w:hAnsiTheme="majorHAnsi" w:cstheme="majorBidi"/>
      <w:spacing w:val="-10"/>
      <w:kern w:val="28"/>
      <w:sz w:val="56"/>
      <w:szCs w:val="56"/>
      <w:lang w:val="en-US"/>
    </w:rPr>
  </w:style>
  <w:style w:type="paragraph" w:styleId="Sottotitolo">
    <w:name w:val="Subtitle"/>
    <w:basedOn w:val="Normale"/>
    <w:next w:val="Normale"/>
    <w:link w:val="SottotitoloCarattere"/>
    <w:uiPriority w:val="11"/>
    <w:qFormat/>
    <w:rsid w:val="009247F0"/>
    <w:pPr>
      <w:numPr>
        <w:ilvl w:val="1"/>
      </w:numPr>
      <w:spacing w:after="160"/>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247F0"/>
    <w:rPr>
      <w:rFonts w:eastAsiaTheme="majorEastAsia" w:cstheme="majorBidi"/>
      <w:color w:val="595959" w:themeColor="text1" w:themeTint="A6"/>
      <w:spacing w:val="15"/>
      <w:sz w:val="28"/>
      <w:szCs w:val="28"/>
      <w:lang w:val="en-US"/>
    </w:rPr>
  </w:style>
  <w:style w:type="paragraph" w:styleId="Citazione">
    <w:name w:val="Quote"/>
    <w:basedOn w:val="Normale"/>
    <w:next w:val="Normale"/>
    <w:link w:val="CitazioneCarattere"/>
    <w:uiPriority w:val="29"/>
    <w:qFormat/>
    <w:rsid w:val="009247F0"/>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9247F0"/>
    <w:rPr>
      <w:i/>
      <w:iCs/>
      <w:color w:val="404040" w:themeColor="text1" w:themeTint="BF"/>
      <w:lang w:val="en-US"/>
    </w:rPr>
  </w:style>
  <w:style w:type="paragraph" w:styleId="Paragrafoelenco">
    <w:name w:val="List Paragraph"/>
    <w:basedOn w:val="Normale"/>
    <w:uiPriority w:val="34"/>
    <w:qFormat/>
    <w:rsid w:val="009247F0"/>
    <w:pPr>
      <w:ind w:left="720"/>
      <w:contextualSpacing/>
    </w:pPr>
  </w:style>
  <w:style w:type="character" w:styleId="Enfasiintensa">
    <w:name w:val="Intense Emphasis"/>
    <w:basedOn w:val="Carpredefinitoparagrafo"/>
    <w:uiPriority w:val="21"/>
    <w:qFormat/>
    <w:rsid w:val="009247F0"/>
    <w:rPr>
      <w:i/>
      <w:iCs/>
      <w:color w:val="0F4761" w:themeColor="accent1" w:themeShade="BF"/>
    </w:rPr>
  </w:style>
  <w:style w:type="paragraph" w:styleId="Citazioneintensa">
    <w:name w:val="Intense Quote"/>
    <w:basedOn w:val="Normale"/>
    <w:next w:val="Normale"/>
    <w:link w:val="CitazioneintensaCarattere"/>
    <w:uiPriority w:val="30"/>
    <w:qFormat/>
    <w:rsid w:val="009247F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247F0"/>
    <w:rPr>
      <w:i/>
      <w:iCs/>
      <w:color w:val="0F4761" w:themeColor="accent1" w:themeShade="BF"/>
      <w:lang w:val="en-US"/>
    </w:rPr>
  </w:style>
  <w:style w:type="character" w:styleId="Riferimentointenso">
    <w:name w:val="Intense Reference"/>
    <w:basedOn w:val="Carpredefinitoparagrafo"/>
    <w:uiPriority w:val="32"/>
    <w:qFormat/>
    <w:rsid w:val="009247F0"/>
    <w:rPr>
      <w:b/>
      <w:bCs/>
      <w:smallCaps/>
      <w:color w:val="0F4761" w:themeColor="accent1" w:themeShade="BF"/>
      <w:spacing w:val="5"/>
    </w:rPr>
  </w:style>
  <w:style w:type="character" w:styleId="Rimandocommento">
    <w:name w:val="annotation reference"/>
    <w:basedOn w:val="Carpredefinitoparagrafo"/>
    <w:uiPriority w:val="99"/>
    <w:unhideWhenUsed/>
    <w:rsid w:val="009247F0"/>
    <w:rPr>
      <w:sz w:val="16"/>
      <w:szCs w:val="16"/>
    </w:rPr>
  </w:style>
  <w:style w:type="paragraph" w:styleId="Testocommento">
    <w:name w:val="annotation text"/>
    <w:basedOn w:val="Normale"/>
    <w:link w:val="TestocommentoCarattere"/>
    <w:uiPriority w:val="99"/>
    <w:unhideWhenUsed/>
    <w:rsid w:val="009247F0"/>
    <w:rPr>
      <w:sz w:val="20"/>
      <w:szCs w:val="20"/>
    </w:rPr>
  </w:style>
  <w:style w:type="character" w:customStyle="1" w:styleId="TestocommentoCarattere">
    <w:name w:val="Testo commento Carattere"/>
    <w:basedOn w:val="Carpredefinitoparagrafo"/>
    <w:link w:val="Testocommento"/>
    <w:uiPriority w:val="99"/>
    <w:rsid w:val="009247F0"/>
    <w:rPr>
      <w:rFonts w:ascii="Times New Roman" w:eastAsia="Times New Roman" w:hAnsi="Times New Roman" w:cs="Times New Roman"/>
      <w:kern w:val="0"/>
      <w:sz w:val="20"/>
      <w:szCs w:val="20"/>
      <w:lang w:eastAsia="el-GR"/>
      <w14:ligatures w14:val="none"/>
    </w:rPr>
  </w:style>
  <w:style w:type="paragraph" w:styleId="Testonotaapidipagina">
    <w:name w:val="footnote text"/>
    <w:basedOn w:val="Normale"/>
    <w:link w:val="TestonotaapidipaginaCarattere"/>
    <w:uiPriority w:val="99"/>
    <w:unhideWhenUsed/>
    <w:rsid w:val="009247F0"/>
    <w:rPr>
      <w:sz w:val="20"/>
      <w:szCs w:val="20"/>
    </w:rPr>
  </w:style>
  <w:style w:type="character" w:customStyle="1" w:styleId="TestonotaapidipaginaCarattere">
    <w:name w:val="Testo nota a piè di pagina Carattere"/>
    <w:basedOn w:val="Carpredefinitoparagrafo"/>
    <w:link w:val="Testonotaapidipagina"/>
    <w:uiPriority w:val="99"/>
    <w:rsid w:val="009247F0"/>
    <w:rPr>
      <w:rFonts w:ascii="Times New Roman" w:eastAsia="Times New Roman" w:hAnsi="Times New Roman" w:cs="Times New Roman"/>
      <w:kern w:val="0"/>
      <w:sz w:val="20"/>
      <w:szCs w:val="20"/>
      <w:lang w:eastAsia="el-GR"/>
      <w14:ligatures w14:val="none"/>
    </w:rPr>
  </w:style>
  <w:style w:type="character" w:styleId="Rimandonotaapidipagina">
    <w:name w:val="footnote reference"/>
    <w:basedOn w:val="Carpredefinitoparagrafo"/>
    <w:uiPriority w:val="99"/>
    <w:semiHidden/>
    <w:unhideWhenUsed/>
    <w:rsid w:val="009247F0"/>
    <w:rPr>
      <w:vertAlign w:val="superscript"/>
    </w:rPr>
  </w:style>
  <w:style w:type="paragraph" w:styleId="Didascalia">
    <w:name w:val="caption"/>
    <w:basedOn w:val="Normale"/>
    <w:next w:val="Normale"/>
    <w:uiPriority w:val="35"/>
    <w:semiHidden/>
    <w:unhideWhenUsed/>
    <w:qFormat/>
    <w:rsid w:val="0084529A"/>
    <w:pPr>
      <w:spacing w:after="200"/>
    </w:pPr>
    <w:rPr>
      <w:rFonts w:asciiTheme="minorHAnsi" w:eastAsiaTheme="minorHAnsi" w:hAnsiTheme="minorHAnsi" w:cstheme="minorBidi"/>
      <w:i/>
      <w:iCs/>
      <w:color w:val="0E2841" w:themeColor="text2"/>
      <w:sz w:val="18"/>
      <w:szCs w:val="18"/>
      <w:lang w:eastAsia="en-US"/>
    </w:rPr>
  </w:style>
  <w:style w:type="paragraph" w:styleId="Bibliografia">
    <w:name w:val="Bibliography"/>
    <w:basedOn w:val="Normale"/>
    <w:next w:val="Normale"/>
    <w:uiPriority w:val="37"/>
    <w:unhideWhenUsed/>
    <w:rsid w:val="003D00F5"/>
    <w:pPr>
      <w:spacing w:after="240"/>
      <w:ind w:left="720" w:hanging="720"/>
    </w:pPr>
  </w:style>
  <w:style w:type="character" w:styleId="Collegamentoipertestuale">
    <w:name w:val="Hyperlink"/>
    <w:basedOn w:val="Carpredefinitoparagrafo"/>
    <w:uiPriority w:val="99"/>
    <w:unhideWhenUsed/>
    <w:rsid w:val="003D00F5"/>
    <w:rPr>
      <w:color w:val="0000FF"/>
      <w:u w:val="single"/>
    </w:rPr>
  </w:style>
  <w:style w:type="paragraph" w:styleId="Testofumetto">
    <w:name w:val="Balloon Text"/>
    <w:basedOn w:val="Normale"/>
    <w:link w:val="TestofumettoCarattere"/>
    <w:uiPriority w:val="99"/>
    <w:semiHidden/>
    <w:unhideWhenUsed/>
    <w:rsid w:val="00F74124"/>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74124"/>
    <w:rPr>
      <w:rFonts w:ascii="Segoe UI" w:eastAsia="Times New Roman" w:hAnsi="Segoe UI" w:cs="Segoe UI"/>
      <w:kern w:val="0"/>
      <w:sz w:val="18"/>
      <w:szCs w:val="18"/>
      <w:lang w:eastAsia="el-GR"/>
      <w14:ligatures w14:val="none"/>
    </w:rPr>
  </w:style>
  <w:style w:type="paragraph" w:styleId="Revisione">
    <w:name w:val="Revision"/>
    <w:hidden/>
    <w:uiPriority w:val="99"/>
    <w:semiHidden/>
    <w:rsid w:val="006C4C7B"/>
    <w:rPr>
      <w:rFonts w:ascii="Times New Roman" w:eastAsia="Times New Roman" w:hAnsi="Times New Roman" w:cs="Times New Roman"/>
      <w:kern w:val="0"/>
      <w:lang w:eastAsia="el-GR"/>
      <w14:ligatures w14:val="none"/>
    </w:rPr>
  </w:style>
  <w:style w:type="paragraph" w:styleId="Soggettocommento">
    <w:name w:val="annotation subject"/>
    <w:basedOn w:val="Testocommento"/>
    <w:next w:val="Testocommento"/>
    <w:link w:val="SoggettocommentoCarattere"/>
    <w:uiPriority w:val="99"/>
    <w:semiHidden/>
    <w:unhideWhenUsed/>
    <w:rsid w:val="00C928D5"/>
    <w:rPr>
      <w:b/>
      <w:bCs/>
    </w:rPr>
  </w:style>
  <w:style w:type="character" w:customStyle="1" w:styleId="SoggettocommentoCarattere">
    <w:name w:val="Soggetto commento Carattere"/>
    <w:basedOn w:val="TestocommentoCarattere"/>
    <w:link w:val="Soggettocommento"/>
    <w:uiPriority w:val="99"/>
    <w:semiHidden/>
    <w:rsid w:val="00C928D5"/>
    <w:rPr>
      <w:rFonts w:ascii="Times New Roman" w:eastAsia="Times New Roman" w:hAnsi="Times New Roman" w:cs="Times New Roman"/>
      <w:b/>
      <w:bCs/>
      <w:kern w:val="0"/>
      <w:sz w:val="20"/>
      <w:szCs w:val="20"/>
      <w:lang w:eastAsia="el-GR"/>
      <w14:ligatures w14:val="none"/>
    </w:rPr>
  </w:style>
  <w:style w:type="character" w:customStyle="1" w:styleId="apple-converted-space">
    <w:name w:val="apple-converted-space"/>
    <w:basedOn w:val="Carpredefinitoparagrafo"/>
    <w:rsid w:val="006B7964"/>
  </w:style>
  <w:style w:type="character" w:styleId="Enfasigrassetto">
    <w:name w:val="Strong"/>
    <w:basedOn w:val="Carpredefinitoparagrafo"/>
    <w:uiPriority w:val="22"/>
    <w:qFormat/>
    <w:rsid w:val="006B7964"/>
    <w:rPr>
      <w:b/>
      <w:bCs/>
    </w:rPr>
  </w:style>
  <w:style w:type="character" w:styleId="Enfasicorsivo">
    <w:name w:val="Emphasis"/>
    <w:basedOn w:val="Carpredefinitoparagrafo"/>
    <w:uiPriority w:val="20"/>
    <w:qFormat/>
    <w:rsid w:val="008E2B90"/>
    <w:rPr>
      <w:i/>
      <w:iCs/>
    </w:rPr>
  </w:style>
  <w:style w:type="paragraph" w:styleId="NormaleWeb">
    <w:name w:val="Normal (Web)"/>
    <w:basedOn w:val="Normale"/>
    <w:uiPriority w:val="99"/>
    <w:unhideWhenUsed/>
    <w:rsid w:val="00587FA5"/>
    <w:pPr>
      <w:spacing w:before="100" w:beforeAutospacing="1" w:after="100" w:afterAutospacing="1"/>
    </w:pPr>
  </w:style>
  <w:style w:type="character" w:customStyle="1" w:styleId="UnresolvedMention">
    <w:name w:val="Unresolved Mention"/>
    <w:basedOn w:val="Carpredefinitoparagrafo"/>
    <w:uiPriority w:val="99"/>
    <w:semiHidden/>
    <w:unhideWhenUsed/>
    <w:rsid w:val="00154C79"/>
    <w:rPr>
      <w:color w:val="605E5C"/>
      <w:shd w:val="clear" w:color="auto" w:fill="E1DFDD"/>
    </w:rPr>
  </w:style>
  <w:style w:type="character" w:customStyle="1" w:styleId="fn">
    <w:name w:val="fn"/>
    <w:basedOn w:val="Carpredefinitoparagrafo"/>
    <w:rsid w:val="00F37D00"/>
  </w:style>
  <w:style w:type="character" w:customStyle="1" w:styleId="Sottotitolo1">
    <w:name w:val="Sottotitolo1"/>
    <w:basedOn w:val="Carpredefinitoparagrafo"/>
    <w:rsid w:val="00F37D00"/>
  </w:style>
  <w:style w:type="character" w:styleId="Collegamentovisitato">
    <w:name w:val="FollowedHyperlink"/>
    <w:basedOn w:val="Carpredefinitoparagrafo"/>
    <w:uiPriority w:val="99"/>
    <w:semiHidden/>
    <w:unhideWhenUsed/>
    <w:rsid w:val="0058471F"/>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5328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3183222.2021.1919381" TargetMode="External"/><Relationship Id="rId13" Type="http://schemas.openxmlformats.org/officeDocument/2006/relationships/hyperlink" Target="https://doi.org/10.3390%2Fijerph18010322" TargetMode="External"/><Relationship Id="rId18" Type="http://schemas.openxmlformats.org/officeDocument/2006/relationships/hyperlink" Target="https://doi.org/10.1080/01442872.2021.201921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2681/historein.318" TargetMode="External"/><Relationship Id="rId17" Type="http://schemas.openxmlformats.org/officeDocument/2006/relationships/hyperlink" Target="https://data.who.int/dashboards/covid19/deaths" TargetMode="External"/><Relationship Id="rId2" Type="http://schemas.openxmlformats.org/officeDocument/2006/relationships/numbering" Target="numbering.xml"/><Relationship Id="rId16" Type="http://schemas.openxmlformats.org/officeDocument/2006/relationships/hyperlink" Target="https://doi.org/10.4337/9781789909500.00012" TargetMode="External"/><Relationship Id="rId20" Type="http://schemas.openxmlformats.org/officeDocument/2006/relationships/hyperlink" Target="https://doi.org/10.1093/eurpub/ckaa05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1525822X05282260" TargetMode="External"/><Relationship Id="rId5" Type="http://schemas.openxmlformats.org/officeDocument/2006/relationships/webSettings" Target="webSettings.xml"/><Relationship Id="rId15" Type="http://schemas.openxmlformats.org/officeDocument/2006/relationships/hyperlink" Target="https://www.aljazeera.com/news/2020/04/greece-flattened-coronavirus-curve-200407191043404.html" TargetMode="External"/><Relationship Id="rId23" Type="http://schemas.microsoft.com/office/2016/09/relationships/commentsIds" Target="commentsIds.xml"/><Relationship Id="rId10" Type="http://schemas.openxmlformats.org/officeDocument/2006/relationships/hyperlink" Target="https://www.europarl.europa.eu/doceo/document/TA-9-2024-0069_EN.html" TargetMode="External"/><Relationship Id="rId19" Type="http://schemas.openxmlformats.org/officeDocument/2006/relationships/hyperlink" Target="https://doi.org/10.1177/00472441221141957" TargetMode="External"/><Relationship Id="rId4" Type="http://schemas.openxmlformats.org/officeDocument/2006/relationships/settings" Target="settings.xml"/><Relationship Id="rId9" Type="http://schemas.openxmlformats.org/officeDocument/2006/relationships/hyperlink" Target="https://www.taylorfrancis.com/books/oa-mono/10.4324/9780367817169/solidarity-media-public-contention-refugees-europe-manlio-cinalli-hans-j%C3%B6rg-trenz-verena-br%C3%A4ndle-olga-eisele-christian-lahusen?context=ubx&amp;refId=2f893a0e-8ab2-4626-ac28-9bb714ecdaed" TargetMode="External"/><Relationship Id="rId14" Type="http://schemas.openxmlformats.org/officeDocument/2006/relationships/hyperlink" Target="https://doi.org/10.1016/j.ssaho.2023.100715"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uropa.eu/eurobarometer/api/deliverable/download/file?deliverableId=46391" TargetMode="External"/><Relationship Id="rId1" Type="http://schemas.openxmlformats.org/officeDocument/2006/relationships/hyperlink" Target="https://www.sodanet.gr"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E4222C-BE56-4B38-AE6E-6EC2E4CE1B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14064</Words>
  <Characters>80167</Characters>
  <Application>Microsoft Office Word</Application>
  <DocSecurity>0</DocSecurity>
  <Lines>668</Lines>
  <Paragraphs>188</Paragraphs>
  <ScaleCrop>false</ScaleCrop>
  <HeadingPairs>
    <vt:vector size="4" baseType="variant">
      <vt:variant>
        <vt:lpstr>Titolo</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94043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2026-04-01T21:02:00Z</dcterms:created>
  <dcterms:modified xsi:type="dcterms:W3CDTF">2026-04-01T21:02:00Z</dcterms:modified>
</cp:coreProperties>
</file>